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3. 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noProof/>
          <w:spacing w:val="-7"/>
          <w:sz w:val="24"/>
          <w:szCs w:val="24"/>
        </w:rPr>
      </w:pPr>
      <w:r w:rsidRPr="004467B6">
        <w:rPr>
          <w:rFonts w:ascii="Times New Roman" w:eastAsia="Calibri" w:hAnsi="Times New Roman" w:cs="Times New Roman"/>
          <w:b/>
          <w:noProof/>
          <w:spacing w:val="-7"/>
          <w:sz w:val="24"/>
          <w:szCs w:val="24"/>
        </w:rPr>
        <w:t>Teorijas un prakses apjoma kontaktstundu procentuālā attiecība</w:t>
      </w:r>
    </w:p>
    <w:p w:rsidR="00EC66D9" w:rsidRPr="004467B6" w:rsidRDefault="00EC66D9" w:rsidP="00EC66D9">
      <w:pPr>
        <w:widowControl w:val="0"/>
        <w:shd w:val="clear" w:color="auto" w:fill="FFFFFF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noProof/>
          <w:spacing w:val="-7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1984"/>
        <w:gridCol w:w="1134"/>
        <w:gridCol w:w="1099"/>
      </w:tblGrid>
      <w:tr w:rsidR="00EC66D9" w:rsidTr="00EC66D9">
        <w:tc>
          <w:tcPr>
            <w:tcW w:w="4962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900"/>
              </w:tabs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Profesionālās izglītības programmas veids</w:t>
            </w:r>
          </w:p>
        </w:tc>
        <w:tc>
          <w:tcPr>
            <w:tcW w:w="1984" w:type="dxa"/>
            <w:vAlign w:val="center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LKI līmenis</w:t>
            </w:r>
          </w:p>
        </w:tc>
        <w:tc>
          <w:tcPr>
            <w:tcW w:w="1134" w:type="dxa"/>
            <w:vAlign w:val="center"/>
          </w:tcPr>
          <w:p w:rsidR="00EC66D9" w:rsidRPr="004467B6" w:rsidRDefault="00EC66D9" w:rsidP="00EC66D9">
            <w:pPr>
              <w:widowControl w:val="0"/>
              <w:spacing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Teorija</w:t>
            </w:r>
          </w:p>
          <w:p w:rsidR="00EC66D9" w:rsidRPr="004467B6" w:rsidRDefault="00EC66D9" w:rsidP="00EC66D9">
            <w:pPr>
              <w:widowControl w:val="0"/>
              <w:spacing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(%)</w:t>
            </w:r>
          </w:p>
        </w:tc>
        <w:tc>
          <w:tcPr>
            <w:tcW w:w="1099" w:type="dxa"/>
            <w:vAlign w:val="center"/>
          </w:tcPr>
          <w:p w:rsidR="00EC66D9" w:rsidRPr="004467B6" w:rsidRDefault="00EC66D9" w:rsidP="00EC66D9">
            <w:pPr>
              <w:widowControl w:val="0"/>
              <w:spacing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Prakse</w:t>
            </w:r>
          </w:p>
          <w:p w:rsidR="00EC66D9" w:rsidRPr="004467B6" w:rsidRDefault="00EC66D9" w:rsidP="00EC66D9">
            <w:pPr>
              <w:widowControl w:val="0"/>
              <w:spacing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(%)</w:t>
            </w:r>
          </w:p>
        </w:tc>
      </w:tr>
      <w:tr w:rsidR="00EC66D9" w:rsidTr="00EC66D9">
        <w:trPr>
          <w:trHeight w:val="397"/>
        </w:trPr>
        <w:tc>
          <w:tcPr>
            <w:tcW w:w="4962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Profesionālās vidējās izglītības programma</w:t>
            </w:r>
          </w:p>
        </w:tc>
        <w:tc>
          <w:tcPr>
            <w:tcW w:w="198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ceturtais</w:t>
            </w:r>
          </w:p>
        </w:tc>
        <w:tc>
          <w:tcPr>
            <w:tcW w:w="113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50</w:t>
            </w:r>
          </w:p>
        </w:tc>
        <w:tc>
          <w:tcPr>
            <w:tcW w:w="1099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50</w:t>
            </w:r>
          </w:p>
        </w:tc>
      </w:tr>
      <w:tr w:rsidR="00EC66D9" w:rsidTr="00EC66D9">
        <w:trPr>
          <w:trHeight w:val="397"/>
        </w:trPr>
        <w:tc>
          <w:tcPr>
            <w:tcW w:w="4962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Arodizglītības programma</w:t>
            </w:r>
          </w:p>
        </w:tc>
        <w:tc>
          <w:tcPr>
            <w:tcW w:w="198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trešais</w:t>
            </w:r>
          </w:p>
        </w:tc>
        <w:tc>
          <w:tcPr>
            <w:tcW w:w="113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35</w:t>
            </w:r>
          </w:p>
        </w:tc>
        <w:tc>
          <w:tcPr>
            <w:tcW w:w="1099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65</w:t>
            </w:r>
          </w:p>
        </w:tc>
      </w:tr>
      <w:tr w:rsidR="00EC66D9" w:rsidTr="00EC66D9">
        <w:trPr>
          <w:trHeight w:val="397"/>
        </w:trPr>
        <w:tc>
          <w:tcPr>
            <w:tcW w:w="4962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Profesionālās pamatizglītības programma</w:t>
            </w:r>
          </w:p>
        </w:tc>
        <w:tc>
          <w:tcPr>
            <w:tcW w:w="198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otrais</w:t>
            </w:r>
          </w:p>
        </w:tc>
        <w:tc>
          <w:tcPr>
            <w:tcW w:w="113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35</w:t>
            </w:r>
          </w:p>
        </w:tc>
        <w:tc>
          <w:tcPr>
            <w:tcW w:w="1099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65</w:t>
            </w:r>
          </w:p>
        </w:tc>
      </w:tr>
      <w:tr w:rsidR="00EC66D9" w:rsidTr="00EC66D9">
        <w:trPr>
          <w:trHeight w:val="397"/>
        </w:trPr>
        <w:tc>
          <w:tcPr>
            <w:tcW w:w="4962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Arodizglītības programma ar pedagoģisko korekciju</w:t>
            </w:r>
          </w:p>
        </w:tc>
        <w:tc>
          <w:tcPr>
            <w:tcW w:w="198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trešais</w:t>
            </w:r>
          </w:p>
        </w:tc>
        <w:tc>
          <w:tcPr>
            <w:tcW w:w="113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55</w:t>
            </w:r>
          </w:p>
        </w:tc>
        <w:tc>
          <w:tcPr>
            <w:tcW w:w="1099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45</w:t>
            </w:r>
          </w:p>
        </w:tc>
      </w:tr>
      <w:tr w:rsidR="00EC66D9" w:rsidTr="00EC66D9">
        <w:trPr>
          <w:trHeight w:val="471"/>
        </w:trPr>
        <w:tc>
          <w:tcPr>
            <w:tcW w:w="4962" w:type="dxa"/>
          </w:tcPr>
          <w:p w:rsidR="00EC66D9" w:rsidRPr="004467B6" w:rsidRDefault="00EC66D9" w:rsidP="00EC66D9">
            <w:pPr>
              <w:widowControl w:val="0"/>
              <w:spacing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Profesionālās pamatizglītības programma ar pedagoģisko korekciju</w:t>
            </w:r>
          </w:p>
        </w:tc>
        <w:tc>
          <w:tcPr>
            <w:tcW w:w="198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 xml:space="preserve">otrais </w:t>
            </w:r>
          </w:p>
        </w:tc>
        <w:tc>
          <w:tcPr>
            <w:tcW w:w="1134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65</w:t>
            </w:r>
          </w:p>
        </w:tc>
        <w:tc>
          <w:tcPr>
            <w:tcW w:w="1099" w:type="dxa"/>
          </w:tcPr>
          <w:p w:rsidR="00EC66D9" w:rsidRPr="004467B6" w:rsidRDefault="00EC66D9" w:rsidP="00EC66D9">
            <w:pPr>
              <w:widowControl w:val="0"/>
              <w:spacing w:after="200" w:line="276" w:lineRule="auto"/>
              <w:jc w:val="center"/>
              <w:outlineLvl w:val="0"/>
              <w:rPr>
                <w:noProof/>
                <w:spacing w:val="-7"/>
                <w:sz w:val="24"/>
                <w:szCs w:val="24"/>
                <w:lang w:val="lv-LV"/>
              </w:rPr>
            </w:pPr>
            <w:r w:rsidRPr="004467B6">
              <w:rPr>
                <w:noProof/>
                <w:spacing w:val="-7"/>
                <w:sz w:val="24"/>
                <w:szCs w:val="24"/>
                <w:lang w:val="lv-LV"/>
              </w:rPr>
              <w:t>35</w:t>
            </w:r>
          </w:p>
        </w:tc>
      </w:tr>
    </w:tbl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</w:pPr>
    </w:p>
    <w:p w:rsidR="00EC66D9" w:rsidRPr="005A6E76" w:rsidRDefault="00EC66D9" w:rsidP="00EC66D9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</w:pPr>
      <w:r w:rsidRPr="005A6E76"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 xml:space="preserve">Piezīmes. </w:t>
      </w:r>
    </w:p>
    <w:p w:rsidR="00EC66D9" w:rsidRPr="005A6E7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</w:pPr>
      <w:r w:rsidRPr="005A6E76"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1.</w:t>
      </w:r>
      <w:r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 </w:t>
      </w:r>
      <w:r w:rsidRPr="005A6E76"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Profesionālās vidējās izglītības programmās, kurās mācās izglītojamie ar iepriekš iegūtu vidējo izglītību, teorijas kontakstundu skaitu var samazināt līdz 30 procentiem no izglītības programmas apjoma</w:t>
      </w:r>
    </w:p>
    <w:p w:rsidR="00EC66D9" w:rsidRPr="005A6E7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</w:pPr>
      <w:r w:rsidRPr="005A6E76"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2.</w:t>
      </w:r>
      <w:r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 </w:t>
      </w:r>
      <w:r w:rsidRPr="005A6E76">
        <w:rPr>
          <w:rFonts w:ascii="Times New Roman" w:hAnsi="Times New Roman" w:cs="Times New Roman"/>
          <w:sz w:val="24"/>
          <w:szCs w:val="24"/>
        </w:rPr>
        <w:t>Izglītības programmas, izņemot profesionālās pamatizglītības programmās, teorijas un prakses procentuālajā attiecībā pieļaujamā atkāpe ir 5 procenti</w:t>
      </w:r>
    </w:p>
    <w:p w:rsidR="00EC66D9" w:rsidRPr="005A6E7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A6E76"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3.</w:t>
      </w:r>
      <w:r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 </w:t>
      </w:r>
      <w:r w:rsidRPr="005A6E76">
        <w:rPr>
          <w:rFonts w:ascii="Times New Roman" w:eastAsia="Calibri" w:hAnsi="Times New Roman" w:cs="Times New Roman"/>
          <w:noProof/>
          <w:spacing w:val="-1"/>
          <w:w w:val="101"/>
          <w:sz w:val="24"/>
          <w:szCs w:val="24"/>
        </w:rPr>
        <w:t>Profesionālās pamatizglītības programmās procentuālo attiecību un pieļaujamo atkāpi var mainīt, saskaņojot ar Izglītības un zinātnes ministriju.</w:t>
      </w:r>
    </w:p>
    <w:p w:rsidR="00EC66D9" w:rsidRPr="005A6E7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  <w:r w:rsidRPr="005A6E76">
        <w:rPr>
          <w:rFonts w:ascii="Times New Roman" w:eastAsia="Calibri" w:hAnsi="Times New Roman" w:cs="Times New Roman"/>
          <w:noProof/>
          <w:sz w:val="24"/>
          <w:szCs w:val="24"/>
        </w:rPr>
        <w:t>4.</w:t>
      </w:r>
      <w:r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5A6E76">
        <w:rPr>
          <w:rFonts w:ascii="Times New Roman" w:eastAsia="Calibri" w:hAnsi="Times New Roman" w:cs="Times New Roman"/>
          <w:noProof/>
          <w:spacing w:val="-7"/>
          <w:sz w:val="24"/>
          <w:szCs w:val="24"/>
        </w:rPr>
        <w:t>Teorijas un prakses procentuālās attiecības profesionālās tālākizglītības p</w:t>
      </w:r>
      <w:r w:rsidRPr="005A6E76">
        <w:rPr>
          <w:rFonts w:ascii="Times New Roman" w:eastAsia="Calibri" w:hAnsi="Times New Roman" w:cs="Times New Roman"/>
          <w:noProof/>
          <w:spacing w:val="-9"/>
          <w:sz w:val="24"/>
          <w:szCs w:val="24"/>
        </w:rPr>
        <w:t>rogrammās un profesionālās pilnveides izglītības programmās netiek reglamentētas, tās nosaka izglītības iestāde.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EC66D9" w:rsidRPr="004467B6" w:rsidSect="006B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CC" w:rsidRDefault="00064BCC" w:rsidP="000676F2">
      <w:pPr>
        <w:spacing w:after="0" w:line="240" w:lineRule="auto"/>
      </w:pPr>
      <w:r>
        <w:separator/>
      </w:r>
    </w:p>
  </w:endnote>
  <w:endnote w:type="continuationSeparator" w:id="0">
    <w:p w:rsidR="00064BCC" w:rsidRDefault="00064BCC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CC" w:rsidRDefault="00064BCC" w:rsidP="000676F2">
      <w:pPr>
        <w:spacing w:after="0" w:line="240" w:lineRule="auto"/>
      </w:pPr>
      <w:r>
        <w:separator/>
      </w:r>
    </w:p>
  </w:footnote>
  <w:footnote w:type="continuationSeparator" w:id="0">
    <w:p w:rsidR="00064BCC" w:rsidRDefault="00064BCC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6B32BC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4BCC"/>
    <w:rsid w:val="000676F2"/>
    <w:rsid w:val="001C61A5"/>
    <w:rsid w:val="006B32BC"/>
    <w:rsid w:val="008C6869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</cp:lastModifiedBy>
  <cp:revision>2</cp:revision>
  <dcterms:created xsi:type="dcterms:W3CDTF">2019-06-05T07:03:00Z</dcterms:created>
  <dcterms:modified xsi:type="dcterms:W3CDTF">2019-06-05T07:03:00Z</dcterms:modified>
</cp:coreProperties>
</file>