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7B6">
        <w:rPr>
          <w:rFonts w:ascii="Times New Roman" w:eastAsia="Times New Roman" w:hAnsi="Times New Roman" w:cs="Times New Roman"/>
          <w:noProof/>
          <w:sz w:val="24"/>
          <w:szCs w:val="24"/>
        </w:rPr>
        <w:t>4. pielikums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7B6">
        <w:rPr>
          <w:rFonts w:ascii="Times New Roman" w:eastAsia="Times New Roman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7B6">
        <w:rPr>
          <w:rFonts w:ascii="Times New Roman" w:eastAsia="Times New Roman" w:hAnsi="Times New Roman" w:cs="Times New Roman"/>
          <w:noProof/>
          <w:sz w:val="24"/>
          <w:szCs w:val="24"/>
        </w:rPr>
        <w:t>iekšējiem noteikumiem Nr.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pacing w:val="-8"/>
          <w:sz w:val="24"/>
          <w:szCs w:val="24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pacing w:val="-8"/>
        </w:rPr>
      </w:pPr>
      <w:r w:rsidRPr="004467B6">
        <w:rPr>
          <w:rFonts w:ascii="Times New Roman" w:eastAsia="Times New Roman" w:hAnsi="Times New Roman" w:cs="Times New Roman"/>
          <w:b/>
          <w:noProof/>
          <w:spacing w:val="-8"/>
        </w:rPr>
        <w:t xml:space="preserve">Vispārizglītojošo un profesionālo mācību priekšmetu/moduļu teorijas kontaktstundu 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-8"/>
        </w:rPr>
      </w:pPr>
      <w:bookmarkStart w:id="0" w:name="_GoBack"/>
      <w:bookmarkEnd w:id="0"/>
      <w:r w:rsidRPr="004467B6">
        <w:rPr>
          <w:rFonts w:ascii="Times New Roman" w:eastAsia="Times New Roman" w:hAnsi="Times New Roman" w:cs="Times New Roman"/>
          <w:b/>
          <w:noProof/>
          <w:spacing w:val="-8"/>
        </w:rPr>
        <w:t>procentuālā attiecība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-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6"/>
        <w:gridCol w:w="2127"/>
      </w:tblGrid>
      <w:tr w:rsidR="00EC66D9" w:rsidTr="00EC66D9">
        <w:trPr>
          <w:trHeight w:val="6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izglītības programmas veids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Vispārizglītojošie mācību priekšmeti (%)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Profesionālie mācību priekšmeti / moduļi (%)</w:t>
            </w:r>
          </w:p>
        </w:tc>
      </w:tr>
      <w:tr w:rsidR="00EC66D9" w:rsidTr="00EC66D9">
        <w:trPr>
          <w:trHeight w:val="5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vidējās izglītības programma ar iepriekš iegūtu pamatizglītību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40</w:t>
            </w:r>
          </w:p>
        </w:tc>
      </w:tr>
      <w:tr w:rsidR="00EC66D9" w:rsidTr="00EC66D9">
        <w:trPr>
          <w:trHeight w:val="5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vidējās izglītības programma ar iepriekš iegūtu vidējo izglītību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b/>
                <w:noProof/>
                <w:spacing w:val="-8"/>
              </w:rPr>
              <w:sym w:font="Symbol" w:char="F02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100</w:t>
            </w:r>
          </w:p>
        </w:tc>
      </w:tr>
      <w:tr w:rsidR="00EC66D9" w:rsidTr="00EC66D9">
        <w:trPr>
          <w:trHeight w:val="4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Arodizglītības programma ar iepriekš iegūtu pamatizglītību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40</w:t>
            </w:r>
          </w:p>
        </w:tc>
      </w:tr>
      <w:tr w:rsidR="00EC66D9" w:rsidTr="00EC66D9">
        <w:trPr>
          <w:trHeight w:val="5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Arodizglītības programma ar iepriekš iegūtu vidējo izglītību vai ar pamatizglītību no 17 gadu vecuma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sym w:font="Symbol" w:char="F02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100</w:t>
            </w:r>
          </w:p>
        </w:tc>
      </w:tr>
      <w:tr w:rsidR="00EC66D9" w:rsidTr="00EC66D9">
        <w:trPr>
          <w:trHeight w:val="3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Arodizglītības programma ar pedagoģisko korekciju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</w:tr>
      <w:tr w:rsidR="00EC66D9" w:rsidTr="00EC66D9">
        <w:trPr>
          <w:trHeight w:val="4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pamatizglītības programma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sym w:font="Symbol" w:char="F02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100</w:t>
            </w:r>
          </w:p>
        </w:tc>
      </w:tr>
      <w:tr w:rsidR="00EC66D9" w:rsidTr="00EC66D9">
        <w:trPr>
          <w:trHeight w:val="5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pamatizglītības programma ar pedagoģisko korekciju ar iepriekš apgūtu 8 klašu izglītību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35</w:t>
            </w:r>
          </w:p>
        </w:tc>
      </w:tr>
      <w:tr w:rsidR="00EC66D9" w:rsidTr="00EC66D9">
        <w:trPr>
          <w:trHeight w:val="50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pamatizglītības programma ar pedagoģisko korekciju ar iepriekš apgūtu 7 klašu izglītību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20</w:t>
            </w:r>
          </w:p>
        </w:tc>
      </w:tr>
      <w:tr w:rsidR="00EC66D9" w:rsidTr="00EC66D9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tālākizglītības programma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sym w:font="Symbol" w:char="F02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100</w:t>
            </w:r>
          </w:p>
        </w:tc>
      </w:tr>
      <w:tr w:rsidR="00EC66D9" w:rsidTr="00EC66D9">
        <w:trPr>
          <w:trHeight w:val="4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Profesionālās pilnveides programma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sym w:font="Symbol" w:char="F02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D9" w:rsidRPr="00C31E9F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-8"/>
              </w:rPr>
            </w:pPr>
            <w:r w:rsidRPr="00C31E9F">
              <w:rPr>
                <w:rFonts w:ascii="Times New Roman" w:eastAsia="Times New Roman" w:hAnsi="Times New Roman" w:cs="Times New Roman"/>
                <w:noProof/>
                <w:spacing w:val="-8"/>
              </w:rPr>
              <w:t>100</w:t>
            </w:r>
          </w:p>
        </w:tc>
      </w:tr>
    </w:tbl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Piezīmes. 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1. Valsts profesionālās vidējās izglītības un arodizglītības standarts nosaka: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1.1. izglītības obligātā satura teorijas sadalījumu humanitārajā un tehniskajā virzienā;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1.2. vispārizglītojošo mācību priekšmetu izglītošanās jomu teorijas kontaktstundu kopapjoma sadalījumu.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2. Vispārizglītojošo mācību priekšmetu humanitārajā virzienā: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2.1. 45 procenti no kopapjoma ir valodas un komunikatīvās zinības;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2.2. 33 procenti no kopapjoma ir matemātika, dabas zinības un tehniskās zinības;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2.3. 22 procenti no kopapjoma ir sociālās zinības un kultūrizglītība.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3. Vispārizglītojošo mācību priekšmetu tehniskajā virzienā: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3.1. 33 procenti no kopapjoma ir valodas un komunikatīvās zinības;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3.2. 45 procenti no kopapjoma ir matemātika, dabas zinības un tehniskās zinības;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3.3. 22 procenti no kopapjoma ir sociālās zinības un kultūrizglītība.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>
        <w:rPr>
          <w:rFonts w:ascii="Times New Roman" w:eastAsia="Times New Roman" w:hAnsi="Times New Roman" w:cs="Times New Roman"/>
          <w:noProof/>
          <w:spacing w:val="-1"/>
          <w:w w:val="101"/>
        </w:rPr>
        <w:t>4</w:t>
      </w: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. Vispārizglītojošo un profesionālo mācību priekšmetu/moduļu procentuālajā attiecībā pieļaujamā atkāpe ir trīs procenti.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>
        <w:rPr>
          <w:rFonts w:ascii="Times New Roman" w:eastAsia="Times New Roman" w:hAnsi="Times New Roman" w:cs="Times New Roman"/>
          <w:noProof/>
          <w:spacing w:val="-1"/>
          <w:w w:val="101"/>
        </w:rPr>
        <w:t>5</w:t>
      </w: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. Visās izglītības programmās, izņemot profesionālās pamatizglītības un pilnveides izglītības programmas, profesionālos mācību priekšmetos vai moduļos iekļauj moduli "Sabiedrības un cilvēka drošība", nosakot: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>
        <w:rPr>
          <w:rFonts w:ascii="Times New Roman" w:eastAsia="Times New Roman" w:hAnsi="Times New Roman" w:cs="Times New Roman"/>
          <w:noProof/>
          <w:spacing w:val="-1"/>
          <w:w w:val="101"/>
        </w:rPr>
        <w:t>5</w:t>
      </w: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.1. profesionālas vidējās izglītības programmās septiņus procentus no kopapjoma, tai skaitā veselības izglītībai, nosakot 24 kontaktstundas;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>
        <w:rPr>
          <w:rFonts w:ascii="Times New Roman" w:eastAsia="Times New Roman" w:hAnsi="Times New Roman" w:cs="Times New Roman"/>
          <w:noProof/>
          <w:spacing w:val="-1"/>
          <w:w w:val="101"/>
        </w:rPr>
        <w:t>5</w:t>
      </w: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>.2. arodizglītības programmās desmit procentus no kopapjoma, tai skaitā veselības izglītībai, nosakot 20 kontaktstundas.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pacing w:val="-1"/>
          <w:w w:val="101"/>
        </w:rPr>
      </w:pPr>
      <w:r>
        <w:rPr>
          <w:rFonts w:ascii="Times New Roman" w:eastAsia="Times New Roman" w:hAnsi="Times New Roman" w:cs="Times New Roman"/>
          <w:noProof/>
          <w:spacing w:val="-1"/>
          <w:w w:val="101"/>
        </w:rPr>
        <w:t>5</w:t>
      </w:r>
      <w:r w:rsidRPr="004467B6">
        <w:rPr>
          <w:rFonts w:ascii="Times New Roman" w:eastAsia="Times New Roman" w:hAnsi="Times New Roman" w:cs="Times New Roman"/>
          <w:noProof/>
          <w:spacing w:val="-1"/>
          <w:w w:val="101"/>
        </w:rPr>
        <w:t xml:space="preserve">.3. profesionālās tālākizglītības programmās 30 procentus no arodizglītības vai profesionālās vidējās izglītības programmas teorētiskās daļas apjoma, tai skaitā veselības izglītības, nosakot atbilstoši 6 vai 8 kontaktstundas. </w:t>
      </w:r>
    </w:p>
    <w:p w:rsidR="00EC66D9" w:rsidRPr="004467B6" w:rsidRDefault="00EC66D9" w:rsidP="00E4799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pacing w:val="300"/>
          <w:sz w:val="24"/>
          <w:szCs w:val="24"/>
        </w:rPr>
      </w:pPr>
    </w:p>
    <w:sectPr w:rsidR="00EC66D9" w:rsidRPr="004467B6" w:rsidSect="00E47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E4799E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C31E9F"/>
    <w:rsid w:val="00CC7011"/>
    <w:rsid w:val="00DD4A34"/>
    <w:rsid w:val="00E4799E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4</cp:revision>
  <dcterms:created xsi:type="dcterms:W3CDTF">2019-06-03T12:41:00Z</dcterms:created>
  <dcterms:modified xsi:type="dcterms:W3CDTF">2019-06-03T12:45:00Z</dcterms:modified>
</cp:coreProperties>
</file>