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9" w:rsidRPr="007D5C89" w:rsidRDefault="007D5C89" w:rsidP="007D5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5C89">
        <w:rPr>
          <w:rFonts w:ascii="Times New Roman" w:hAnsi="Times New Roman" w:cs="Times New Roman"/>
          <w:b/>
          <w:sz w:val="28"/>
        </w:rPr>
        <w:t>Kontroljautājumi izglītības iestādes pašnovērtējuma ziņojuma</w:t>
      </w:r>
    </w:p>
    <w:p w:rsidR="007E0F6A" w:rsidRDefault="007D5C89" w:rsidP="007D5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5C89">
        <w:rPr>
          <w:rFonts w:ascii="Times New Roman" w:hAnsi="Times New Roman" w:cs="Times New Roman"/>
          <w:b/>
          <w:sz w:val="28"/>
        </w:rPr>
        <w:t>sagatavošanai p</w:t>
      </w:r>
      <w:r w:rsidR="00A50C52">
        <w:rPr>
          <w:rFonts w:ascii="Times New Roman" w:hAnsi="Times New Roman" w:cs="Times New Roman"/>
          <w:b/>
          <w:sz w:val="28"/>
        </w:rPr>
        <w:t>ar</w:t>
      </w:r>
      <w:r w:rsidRPr="007D5C89">
        <w:rPr>
          <w:rFonts w:ascii="Times New Roman" w:hAnsi="Times New Roman" w:cs="Times New Roman"/>
          <w:b/>
          <w:sz w:val="28"/>
        </w:rPr>
        <w:t xml:space="preserve"> 20</w:t>
      </w:r>
      <w:r w:rsidR="00A50C52">
        <w:rPr>
          <w:rFonts w:ascii="Times New Roman" w:hAnsi="Times New Roman" w:cs="Times New Roman"/>
          <w:b/>
          <w:sz w:val="28"/>
        </w:rPr>
        <w:t>20</w:t>
      </w:r>
      <w:r w:rsidRPr="007D5C89">
        <w:rPr>
          <w:rFonts w:ascii="Times New Roman" w:hAnsi="Times New Roman" w:cs="Times New Roman"/>
          <w:b/>
          <w:sz w:val="28"/>
        </w:rPr>
        <w:t>./202</w:t>
      </w:r>
      <w:r w:rsidR="00A50C52">
        <w:rPr>
          <w:rFonts w:ascii="Times New Roman" w:hAnsi="Times New Roman" w:cs="Times New Roman"/>
          <w:b/>
          <w:sz w:val="28"/>
        </w:rPr>
        <w:t>1</w:t>
      </w:r>
      <w:r w:rsidRPr="007D5C89">
        <w:rPr>
          <w:rFonts w:ascii="Times New Roman" w:hAnsi="Times New Roman" w:cs="Times New Roman"/>
          <w:b/>
          <w:sz w:val="28"/>
        </w:rPr>
        <w:t>.māc.g.</w:t>
      </w:r>
    </w:p>
    <w:p w:rsidR="0048710F" w:rsidRDefault="0048710F" w:rsidP="007D5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10005" w:type="dxa"/>
        <w:jc w:val="center"/>
        <w:tblLook w:val="04A0"/>
      </w:tblPr>
      <w:tblGrid>
        <w:gridCol w:w="959"/>
        <w:gridCol w:w="7770"/>
        <w:gridCol w:w="1276"/>
      </w:tblGrid>
      <w:tr w:rsidR="00EF4B31" w:rsidRPr="0006725D" w:rsidTr="00005661">
        <w:trPr>
          <w:jc w:val="center"/>
        </w:trPr>
        <w:tc>
          <w:tcPr>
            <w:tcW w:w="959" w:type="dxa"/>
          </w:tcPr>
          <w:p w:rsidR="007D5C89" w:rsidRPr="0006725D" w:rsidRDefault="007D5C89" w:rsidP="007D5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725D">
              <w:rPr>
                <w:rFonts w:ascii="Times New Roman" w:hAnsi="Times New Roman" w:cs="Times New Roman"/>
                <w:b/>
              </w:rPr>
              <w:t>NPK</w:t>
            </w:r>
          </w:p>
        </w:tc>
        <w:tc>
          <w:tcPr>
            <w:tcW w:w="7770" w:type="dxa"/>
          </w:tcPr>
          <w:p w:rsidR="007D5C89" w:rsidRPr="0006725D" w:rsidRDefault="007D5C89" w:rsidP="007D5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725D">
              <w:rPr>
                <w:rFonts w:ascii="Times New Roman" w:hAnsi="Times New Roman" w:cs="Times New Roman"/>
                <w:b/>
              </w:rPr>
              <w:t>Kontroljautājums</w:t>
            </w:r>
          </w:p>
        </w:tc>
        <w:tc>
          <w:tcPr>
            <w:tcW w:w="1276" w:type="dxa"/>
          </w:tcPr>
          <w:p w:rsidR="007D5C89" w:rsidRPr="0006725D" w:rsidRDefault="007D5C89" w:rsidP="007D5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725D">
              <w:rPr>
                <w:rFonts w:ascii="Times New Roman" w:hAnsi="Times New Roman" w:cs="Times New Roman"/>
                <w:b/>
              </w:rPr>
              <w:t>Jā/Nē</w:t>
            </w:r>
          </w:p>
        </w:tc>
      </w:tr>
      <w:tr w:rsidR="00EA7FDB" w:rsidRPr="0006725D" w:rsidTr="00005661">
        <w:trPr>
          <w:jc w:val="center"/>
        </w:trPr>
        <w:tc>
          <w:tcPr>
            <w:tcW w:w="959" w:type="dxa"/>
          </w:tcPr>
          <w:p w:rsidR="00EA7FDB" w:rsidRPr="0006725D" w:rsidRDefault="00EA7FDB" w:rsidP="00D14D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0" w:type="dxa"/>
          </w:tcPr>
          <w:p w:rsidR="00EA7FDB" w:rsidRPr="0006725D" w:rsidRDefault="00EA7FDB" w:rsidP="00D14D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725D">
              <w:rPr>
                <w:rFonts w:ascii="Times New Roman" w:hAnsi="Times New Roman" w:cs="Times New Roman"/>
                <w:b/>
              </w:rPr>
              <w:t xml:space="preserve">Izglītības iestādes pašnovērtējuma ziņojumā ir divas daļas: (i) </w:t>
            </w:r>
            <w:r w:rsidR="001245DF">
              <w:rPr>
                <w:rFonts w:ascii="Times New Roman" w:hAnsi="Times New Roman" w:cs="Times New Roman"/>
                <w:b/>
              </w:rPr>
              <w:t>publiskojamā daļa</w:t>
            </w:r>
            <w:r w:rsidRPr="0006725D">
              <w:rPr>
                <w:rFonts w:ascii="Times New Roman" w:hAnsi="Times New Roman" w:cs="Times New Roman"/>
                <w:b/>
              </w:rPr>
              <w:t xml:space="preserve">, (ii) </w:t>
            </w:r>
            <w:r w:rsidR="001245DF">
              <w:rPr>
                <w:rFonts w:ascii="Times New Roman" w:hAnsi="Times New Roman" w:cs="Times New Roman"/>
                <w:b/>
              </w:rPr>
              <w:t>nepubliskojamā daļa</w:t>
            </w:r>
            <w:r w:rsidRPr="0006725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</w:tcPr>
          <w:p w:rsidR="00EA7FDB" w:rsidRPr="0006725D" w:rsidRDefault="00EA7FDB" w:rsidP="00D14D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45DF" w:rsidRPr="0006725D" w:rsidTr="00005661">
        <w:trPr>
          <w:jc w:val="center"/>
        </w:trPr>
        <w:tc>
          <w:tcPr>
            <w:tcW w:w="959" w:type="dxa"/>
          </w:tcPr>
          <w:p w:rsidR="001245DF" w:rsidRPr="0006725D" w:rsidRDefault="001245DF" w:rsidP="00D14D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0" w:type="dxa"/>
          </w:tcPr>
          <w:p w:rsidR="001245DF" w:rsidRPr="0006725D" w:rsidRDefault="001245DF" w:rsidP="00D14D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Izglītības iestādes pašnovērtējuma ziņojums ir elektroniski parakstīts un saskaņots ar izglītības iestādes dibinātāju.</w:t>
            </w:r>
          </w:p>
        </w:tc>
        <w:tc>
          <w:tcPr>
            <w:tcW w:w="1276" w:type="dxa"/>
          </w:tcPr>
          <w:p w:rsidR="001245DF" w:rsidRPr="0006725D" w:rsidRDefault="001245DF" w:rsidP="00D14D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45DF" w:rsidRPr="0006725D" w:rsidTr="00005661">
        <w:trPr>
          <w:jc w:val="center"/>
        </w:trPr>
        <w:tc>
          <w:tcPr>
            <w:tcW w:w="959" w:type="dxa"/>
          </w:tcPr>
          <w:p w:rsidR="001245DF" w:rsidRPr="0006725D" w:rsidRDefault="001245DF" w:rsidP="00D14D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0" w:type="dxa"/>
          </w:tcPr>
          <w:p w:rsidR="001245DF" w:rsidRPr="0006725D" w:rsidRDefault="001245DF" w:rsidP="00D14D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Izglītības iestādes pašnovērtējuma ziņojuma publiskojamā daļā ir:</w:t>
            </w:r>
          </w:p>
        </w:tc>
        <w:tc>
          <w:tcPr>
            <w:tcW w:w="1276" w:type="dxa"/>
          </w:tcPr>
          <w:p w:rsidR="001245DF" w:rsidRPr="0006725D" w:rsidRDefault="001245DF" w:rsidP="00D14D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45DF" w:rsidRPr="001245DF" w:rsidTr="00005661">
        <w:trPr>
          <w:jc w:val="center"/>
        </w:trPr>
        <w:tc>
          <w:tcPr>
            <w:tcW w:w="959" w:type="dxa"/>
          </w:tcPr>
          <w:p w:rsidR="001245DF" w:rsidRPr="001245DF" w:rsidRDefault="001245DF" w:rsidP="00D14DAE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70" w:type="dxa"/>
          </w:tcPr>
          <w:p w:rsidR="001245DF" w:rsidRPr="001245DF" w:rsidRDefault="001245DF" w:rsidP="00D14DA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Izglītības iestādes vispārīgs raksturojums, kurā iekļauta informācija par: (i) izglītības iestādes īstenotajām izglītības programmām un tajās esošo izglītojamo skaitu; (ii) izglītības iestādes nodrošinājumu ar pedagogiem un atbalsta personālu; (iii) izglītības iestādes darba prioritātēm un sasniedzamajiem rezultātiem 2021./2022.māc.g. (kvantitatīvi un kvalitatīvi, izglītības iestādei un izglītības iestādes vadītājam)</w:t>
            </w:r>
          </w:p>
        </w:tc>
        <w:tc>
          <w:tcPr>
            <w:tcW w:w="1276" w:type="dxa"/>
          </w:tcPr>
          <w:p w:rsidR="001245DF" w:rsidRPr="001245DF" w:rsidRDefault="001245DF" w:rsidP="00D14DA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245DF" w:rsidRPr="001245DF" w:rsidTr="00005661">
        <w:trPr>
          <w:jc w:val="center"/>
        </w:trPr>
        <w:tc>
          <w:tcPr>
            <w:tcW w:w="959" w:type="dxa"/>
          </w:tcPr>
          <w:p w:rsidR="001245DF" w:rsidRPr="001245DF" w:rsidRDefault="001245DF" w:rsidP="00D14DAE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70" w:type="dxa"/>
          </w:tcPr>
          <w:p w:rsidR="001245DF" w:rsidRPr="001245DF" w:rsidRDefault="001245DF" w:rsidP="00D14DA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Informācija par izglītības iestādes darbības pamatmērķiem, tai skaitā: (i) izglītības iestādes misija vai arī norādīts, ka iestādei pašlaik </w:t>
            </w:r>
            <w:r w:rsidR="00D14DAE">
              <w:rPr>
                <w:rFonts w:ascii="Times New Roman" w:hAnsi="Times New Roman" w:cs="Times New Roman"/>
                <w:bCs/>
              </w:rPr>
              <w:t xml:space="preserve">nav </w:t>
            </w:r>
            <w:r>
              <w:rPr>
                <w:rFonts w:ascii="Times New Roman" w:hAnsi="Times New Roman" w:cs="Times New Roman"/>
                <w:bCs/>
              </w:rPr>
              <w:t xml:space="preserve">definēta misija; (ii) izglītības iestādes vīzija par izglītojamo vai arī norādīts, ka iestādei pašlaik nav formulēta tās vīzija par izglītojamo; (iii) izglītības iestādes vērtības </w:t>
            </w:r>
            <w:r w:rsidR="00D14DAE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cilvēkcentrētā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veidā</w:t>
            </w:r>
            <w:r w:rsidR="00D14DAE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 xml:space="preserve"> vai arī norādīts, ka iestādei pašlaik nav noteiktu vērtību; (iv) informācija par izglītības iestādes 2020./2021.māc.g. darba prioritātēm (mērķi/uzdevumi) un sasniegtajiem rezultātiem (2-4 teikumi)</w:t>
            </w:r>
            <w:r w:rsidR="00262A2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6" w:type="dxa"/>
          </w:tcPr>
          <w:p w:rsidR="001245DF" w:rsidRPr="001245DF" w:rsidRDefault="001245DF" w:rsidP="00D14DA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245DF" w:rsidRPr="001245DF" w:rsidTr="00005661">
        <w:trPr>
          <w:jc w:val="center"/>
        </w:trPr>
        <w:tc>
          <w:tcPr>
            <w:tcW w:w="959" w:type="dxa"/>
          </w:tcPr>
          <w:p w:rsidR="001245DF" w:rsidRPr="001245DF" w:rsidRDefault="001245DF" w:rsidP="00D14DAE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70" w:type="dxa"/>
          </w:tcPr>
          <w:p w:rsidR="001245DF" w:rsidRPr="001245DF" w:rsidRDefault="00262A23" w:rsidP="00D14DA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Informācija par kritēriju izvērtējumu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pašvērtēšanā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par 2020./2021.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māc.g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., tai skaitā: (i) kritērija “Administratīvā efektivitāte” stiprās puses un turpmākās attīstības vajadzības un informācija sakrīt ar nepubliskojamā daļā iekļauto informāciju pie šī kritērija izvērtējuma; (ii) kritērija “Vadības profesionālā darbība” stiprās puses un turpmākās attīstības vajadzības un informācija sakrīt ar nepubliskojamā daļā iekļauto informāciju pie šī kritērija izvērtējuma; (iii) kritērija “Atbalsts un sadarbība” stiprās puses un turpmākās attīstības vajadzības un informācija sakrīt ar nepubliskojamā daļā iekļauto informāciju pie šī kritērija izvērtējuma; (iv) kritērija “Pedagogu profesionālā kapacitāte” stiprās puses un turpmākās attīstības vajadzības un informācija sakrīt ar nepubliskojamā daļā iekļauto informāciju pie šī kritērija izvērtējuma.</w:t>
            </w:r>
          </w:p>
        </w:tc>
        <w:tc>
          <w:tcPr>
            <w:tcW w:w="1276" w:type="dxa"/>
          </w:tcPr>
          <w:p w:rsidR="001245DF" w:rsidRPr="001245DF" w:rsidRDefault="001245DF" w:rsidP="00D14DA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245DF" w:rsidRPr="001245DF" w:rsidTr="00005661">
        <w:trPr>
          <w:jc w:val="center"/>
        </w:trPr>
        <w:tc>
          <w:tcPr>
            <w:tcW w:w="959" w:type="dxa"/>
          </w:tcPr>
          <w:p w:rsidR="001245DF" w:rsidRPr="001245DF" w:rsidRDefault="001245DF" w:rsidP="00D14DAE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70" w:type="dxa"/>
          </w:tcPr>
          <w:p w:rsidR="001245DF" w:rsidRPr="001245DF" w:rsidRDefault="00262A23" w:rsidP="00D14DA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Informācija par 2-3 lielākajiem īstenotajiem projektiem 2020./2021.māc.g., sniedzot to īsu anotāciju un rezultātus (kopumā 3-4 teikumi) vai arī norādīts, ka izglītības iestāde 2020./2021.māc.g. nav īstenojusi projektus.</w:t>
            </w:r>
          </w:p>
        </w:tc>
        <w:tc>
          <w:tcPr>
            <w:tcW w:w="1276" w:type="dxa"/>
          </w:tcPr>
          <w:p w:rsidR="001245DF" w:rsidRPr="001245DF" w:rsidRDefault="001245DF" w:rsidP="00D14DA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245DF" w:rsidRPr="001245DF" w:rsidTr="00005661">
        <w:trPr>
          <w:jc w:val="center"/>
        </w:trPr>
        <w:tc>
          <w:tcPr>
            <w:tcW w:w="959" w:type="dxa"/>
          </w:tcPr>
          <w:p w:rsidR="001245DF" w:rsidRPr="001245DF" w:rsidRDefault="001245DF" w:rsidP="00D14DAE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70" w:type="dxa"/>
          </w:tcPr>
          <w:p w:rsidR="001245DF" w:rsidRPr="001245DF" w:rsidRDefault="00262A23" w:rsidP="00D14DA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Informācija par institūcijām, ar kurām izglītības iestādēm ir noslēgti sadarbības līgumi izglītības programmu īstenošanai (2-3 nozīmīgākie līgumi) vai arī norādīts, ka izglītības iestādei 2020./2021.māc.g. nav bijuši noslēgti līgumi, kuri saistīti ar izglītības programmu īstenošanu.</w:t>
            </w:r>
          </w:p>
        </w:tc>
        <w:tc>
          <w:tcPr>
            <w:tcW w:w="1276" w:type="dxa"/>
          </w:tcPr>
          <w:p w:rsidR="001245DF" w:rsidRPr="001245DF" w:rsidRDefault="001245DF" w:rsidP="00D14DA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245DF" w:rsidRPr="001245DF" w:rsidTr="00005661">
        <w:trPr>
          <w:jc w:val="center"/>
        </w:trPr>
        <w:tc>
          <w:tcPr>
            <w:tcW w:w="959" w:type="dxa"/>
          </w:tcPr>
          <w:p w:rsidR="001245DF" w:rsidRPr="001245DF" w:rsidRDefault="001245DF" w:rsidP="00D14DAE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70" w:type="dxa"/>
          </w:tcPr>
          <w:p w:rsidR="001245DF" w:rsidRPr="001245DF" w:rsidRDefault="00262A23" w:rsidP="00D14DA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Pieejama informācija par izglītības iestādes audzināšanas darba prioritātēm trim gadiem, kā arī doti galvenie secinājumi pēc mācību gada veiktās izvērtēšanas par sasniegto un paveikto audzināšanas darbā (2-3 teikumi).</w:t>
            </w:r>
          </w:p>
        </w:tc>
        <w:tc>
          <w:tcPr>
            <w:tcW w:w="1276" w:type="dxa"/>
          </w:tcPr>
          <w:p w:rsidR="001245DF" w:rsidRPr="001245DF" w:rsidRDefault="001245DF" w:rsidP="00D14DA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245DF" w:rsidRPr="001245DF" w:rsidTr="00005661">
        <w:trPr>
          <w:jc w:val="center"/>
        </w:trPr>
        <w:tc>
          <w:tcPr>
            <w:tcW w:w="959" w:type="dxa"/>
          </w:tcPr>
          <w:p w:rsidR="001245DF" w:rsidRPr="001245DF" w:rsidRDefault="001245DF" w:rsidP="00D14DAE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70" w:type="dxa"/>
          </w:tcPr>
          <w:p w:rsidR="00262A23" w:rsidRPr="001245DF" w:rsidRDefault="00262A23" w:rsidP="00D14DA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Norādīti jebkuri citi sasniegumi, tai skaitā: (i) ne vairāk kā 2-3 iestādei nozīmīgākie sasniegumi 2020./2021.māc.g.; (ii) informācija par galvenajiem iegūtajiem secinājumiem pēc 12.klašu valsts pārbaudes darbu izvērtēšanas un/vai pēdējo trīs gadu laikā iegūtajiem secinājumiem (2-</w:t>
            </w:r>
            <w:r w:rsidR="00D14DAE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teikumi).</w:t>
            </w:r>
          </w:p>
        </w:tc>
        <w:tc>
          <w:tcPr>
            <w:tcW w:w="1276" w:type="dxa"/>
          </w:tcPr>
          <w:p w:rsidR="001245DF" w:rsidRPr="001245DF" w:rsidRDefault="001245DF" w:rsidP="00D14DA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245DF" w:rsidRPr="001245DF" w:rsidTr="00005661">
        <w:trPr>
          <w:jc w:val="center"/>
        </w:trPr>
        <w:tc>
          <w:tcPr>
            <w:tcW w:w="959" w:type="dxa"/>
          </w:tcPr>
          <w:p w:rsidR="001245DF" w:rsidRPr="001245DF" w:rsidRDefault="001245DF" w:rsidP="00D14DAE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70" w:type="dxa"/>
          </w:tcPr>
          <w:p w:rsidR="001245DF" w:rsidRPr="001245DF" w:rsidRDefault="00D14DAE" w:rsidP="00D14DA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B697D">
              <w:rPr>
                <w:rFonts w:ascii="Times New Roman" w:hAnsi="Times New Roman" w:cs="Times New Roman"/>
                <w:b/>
                <w:u w:val="single"/>
              </w:rPr>
              <w:t>Profesionālās izglītības iestādes</w:t>
            </w:r>
            <w:r>
              <w:rPr>
                <w:rFonts w:ascii="Times New Roman" w:hAnsi="Times New Roman" w:cs="Times New Roman"/>
                <w:bCs/>
              </w:rPr>
              <w:t xml:space="preserve"> ir iekļāvušas visu nepieciešamo informāciju par izglītības kvalitātes indikatoriem (8.1., 8.2. un 8.3.). </w:t>
            </w:r>
            <w:r w:rsidRPr="002B697D">
              <w:rPr>
                <w:rFonts w:ascii="Times New Roman" w:hAnsi="Times New Roman" w:cs="Times New Roman"/>
                <w:b/>
                <w:u w:val="single"/>
              </w:rPr>
              <w:t>Vispārējās izglītības iestādes</w:t>
            </w:r>
            <w:r w:rsidR="002B697D">
              <w:rPr>
                <w:rFonts w:ascii="Times New Roman" w:hAnsi="Times New Roman" w:cs="Times New Roman"/>
                <w:bCs/>
              </w:rPr>
              <w:t xml:space="preserve"> (pirmsskola, sākumskola, pamatskola, vidusskola, ģimnāzija/valsts ģimnāzija)</w:t>
            </w:r>
            <w:r w:rsidRPr="002B697D">
              <w:rPr>
                <w:rFonts w:ascii="Times New Roman" w:hAnsi="Times New Roman" w:cs="Times New Roman"/>
                <w:b/>
              </w:rPr>
              <w:t xml:space="preserve"> </w:t>
            </w:r>
            <w:r w:rsidRPr="002B697D">
              <w:rPr>
                <w:rFonts w:ascii="Times New Roman" w:hAnsi="Times New Roman" w:cs="Times New Roman"/>
                <w:b/>
                <w:u w:val="single"/>
              </w:rPr>
              <w:t>un profesionālās ievirzes izglītības iestādes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B697D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mūzikā, mākslā, dejā, sportā</w:t>
            </w:r>
            <w:r w:rsidR="002B697D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 xml:space="preserve"> ir dzēsušas 8.sadaļu no pašnovērtējuma ziņojuma.</w:t>
            </w:r>
          </w:p>
        </w:tc>
        <w:tc>
          <w:tcPr>
            <w:tcW w:w="1276" w:type="dxa"/>
          </w:tcPr>
          <w:p w:rsidR="001245DF" w:rsidRPr="001245DF" w:rsidRDefault="001245DF" w:rsidP="00D14DA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E70C3" w:rsidRPr="0006725D" w:rsidTr="00005661">
        <w:trPr>
          <w:jc w:val="center"/>
        </w:trPr>
        <w:tc>
          <w:tcPr>
            <w:tcW w:w="959" w:type="dxa"/>
          </w:tcPr>
          <w:p w:rsidR="002E70C3" w:rsidRPr="0006725D" w:rsidRDefault="002E70C3" w:rsidP="002E70C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0" w:type="dxa"/>
          </w:tcPr>
          <w:p w:rsidR="002E70C3" w:rsidRPr="0006725D" w:rsidRDefault="002E70C3" w:rsidP="002E70C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Izglītības iestādes pašnovērtējuma ziņojuma nepubliskojamā daļā ir:</w:t>
            </w:r>
          </w:p>
        </w:tc>
        <w:tc>
          <w:tcPr>
            <w:tcW w:w="1276" w:type="dxa"/>
          </w:tcPr>
          <w:p w:rsidR="002E70C3" w:rsidRPr="0006725D" w:rsidRDefault="002E70C3" w:rsidP="002E70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7C42" w:rsidRPr="00DA7C42" w:rsidTr="00005661">
        <w:trPr>
          <w:jc w:val="center"/>
        </w:trPr>
        <w:tc>
          <w:tcPr>
            <w:tcW w:w="959" w:type="dxa"/>
          </w:tcPr>
          <w:p w:rsidR="00DA7C42" w:rsidRPr="00DA7C42" w:rsidRDefault="00DA7C42" w:rsidP="00DA7C42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70" w:type="dxa"/>
          </w:tcPr>
          <w:p w:rsidR="00DA7C42" w:rsidRPr="00DA7C42" w:rsidRDefault="00DA7C42" w:rsidP="002E70C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Ir izmantotas trīs kvalitātes vērtēšanas metodes, tai skaitā: (i) kritēriju “Administratīvā efektivitāte”, “Vadības profesionālā darbība”, “Atbalsts un sadarbība” – situāciju analīze; (ii) kritērija “Pedagogu profesionālā kapacitāte” – dokumentu analīze; (iii) pie viena no četriem kritērijiem izmantota arī kāda no trīs nosauktajām kvalitātes vērtēšanas metodēm – intervija ar…, saruna ar… vai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fokusgrupu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diskusija.</w:t>
            </w:r>
          </w:p>
        </w:tc>
        <w:tc>
          <w:tcPr>
            <w:tcW w:w="1276" w:type="dxa"/>
          </w:tcPr>
          <w:p w:rsidR="00DA7C42" w:rsidRPr="00DA7C42" w:rsidRDefault="00DA7C42" w:rsidP="002E70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E70C3" w:rsidRPr="0006725D" w:rsidTr="00005661">
        <w:trPr>
          <w:jc w:val="center"/>
        </w:trPr>
        <w:tc>
          <w:tcPr>
            <w:tcW w:w="959" w:type="dxa"/>
          </w:tcPr>
          <w:p w:rsidR="002E70C3" w:rsidRPr="002E70C3" w:rsidRDefault="002E70C3" w:rsidP="002E70C3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70" w:type="dxa"/>
          </w:tcPr>
          <w:p w:rsidR="002E70C3" w:rsidRPr="002E70C3" w:rsidRDefault="002E70C3" w:rsidP="002E70C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Kritērija “Administratīvā efektivitāte” </w:t>
            </w:r>
            <w:r w:rsidR="00DA7C42">
              <w:rPr>
                <w:rFonts w:ascii="Times New Roman" w:hAnsi="Times New Roman" w:cs="Times New Roman"/>
                <w:bCs/>
              </w:rPr>
              <w:t xml:space="preserve">kvalitātes novērtēšanā ir: (i) dota informācija </w:t>
            </w:r>
            <w:r w:rsidR="00DA7C42">
              <w:rPr>
                <w:rFonts w:ascii="Times New Roman" w:hAnsi="Times New Roman" w:cs="Times New Roman"/>
                <w:bCs/>
              </w:rPr>
              <w:lastRenderedPageBreak/>
              <w:t>par vērtēšanā izmantoto metodi vai metodēm; (ii) norādīts iegūtais kvalitātes līmenis par visu kritēriju; (iii) par katru no kvalitātes vērtēšanā izmantotajām metodēm ir dots secinājums/-i, kuri attiecas uz izglītības iestādes vadītāja profesionālo darbību (nevis izglītības iestādi); (iv) pie katra rezultatīvā rādītāja ir dots kvalitātes līmeņa vērtējums punktos, (v) pēc vadītāja ieskaitiem pie rezultatīvā rādītāja nosauktas stiprās puses un turpmākās attīstības vajadzības vai arī atstāt</w:t>
            </w:r>
            <w:r w:rsidR="00DC7475">
              <w:rPr>
                <w:rFonts w:ascii="Times New Roman" w:hAnsi="Times New Roman" w:cs="Times New Roman"/>
                <w:bCs/>
              </w:rPr>
              <w:t>a</w:t>
            </w:r>
            <w:r w:rsidR="00DA7C42">
              <w:rPr>
                <w:rFonts w:ascii="Times New Roman" w:hAnsi="Times New Roman" w:cs="Times New Roman"/>
                <w:bCs/>
              </w:rPr>
              <w:t xml:space="preserve"> neaizpildīta vieta, vai arī pēc nepieciešamības apvienotas vairākas rezultatīvo rādītāju stiprās puses un/vai turpmākās attīstības vajadzības.</w:t>
            </w:r>
          </w:p>
        </w:tc>
        <w:tc>
          <w:tcPr>
            <w:tcW w:w="1276" w:type="dxa"/>
          </w:tcPr>
          <w:p w:rsidR="002E70C3" w:rsidRPr="0006725D" w:rsidRDefault="002E70C3" w:rsidP="002E70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70C3" w:rsidRPr="0006725D" w:rsidTr="00005661">
        <w:trPr>
          <w:jc w:val="center"/>
        </w:trPr>
        <w:tc>
          <w:tcPr>
            <w:tcW w:w="959" w:type="dxa"/>
          </w:tcPr>
          <w:p w:rsidR="002E70C3" w:rsidRPr="002E70C3" w:rsidRDefault="002E70C3" w:rsidP="002E70C3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70" w:type="dxa"/>
          </w:tcPr>
          <w:p w:rsidR="002E70C3" w:rsidRDefault="00DA7C42" w:rsidP="002E70C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Kritērija “Vadības profesionālā darbība” kvalitātes novērtēšanā ir: (i) dota informācija par vērtēšanā izmantoto metodi vai metodēm; (ii) norādīts iegūtais kvalitātes līmenis par visu kritēriju; (iii) par katru no kvalitātes vērtēšanā izmantotajām metodēm ir dots secinājums/-i, kuri attiecas uz izglītības iestādes vadītāja profesionālo darbību (nevis izglītības iestādi); (iv) pie katra rezultatīvā rādītāja ir dots kvalitātes līmeņa vērtējums punktos, (v) pēc vadītāja ieskaitiem pie rezultatīvā rādītāja nosauktas stiprās puses un turpmākās attīstības vajadzības vai arī atstāt</w:t>
            </w:r>
            <w:r w:rsidR="00DC7475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 xml:space="preserve"> neaizpildīta vieta, vai arī pēc nepieciešamības apvienotas vairākas rezultatīvo rādītāju stiprās puses un/vai turpmākās attīstības vajadzības.</w:t>
            </w:r>
          </w:p>
        </w:tc>
        <w:tc>
          <w:tcPr>
            <w:tcW w:w="1276" w:type="dxa"/>
          </w:tcPr>
          <w:p w:rsidR="002E70C3" w:rsidRPr="0006725D" w:rsidRDefault="002E70C3" w:rsidP="002E70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70C3" w:rsidRPr="0006725D" w:rsidTr="00005661">
        <w:trPr>
          <w:jc w:val="center"/>
        </w:trPr>
        <w:tc>
          <w:tcPr>
            <w:tcW w:w="959" w:type="dxa"/>
          </w:tcPr>
          <w:p w:rsidR="002E70C3" w:rsidRPr="002E70C3" w:rsidRDefault="002E70C3" w:rsidP="002E70C3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70" w:type="dxa"/>
          </w:tcPr>
          <w:p w:rsidR="002E70C3" w:rsidRDefault="00DA7C42" w:rsidP="002E70C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Kritērija “Atbalsts un sadarbība” kvalitātes novērtēšanā ir: (i) dota informācija par vērtēšanā izmantoto metodi vai metodēm; (ii) norādīts iegūtais kvalitātes līmenis par visu kritēriju; (iii) par katru no kvalitātes vērtēšanā izmantotajām metodēm ir dots secinājums/-i, kuri attiecas uz izglītības iestādes vadītāja profesionālo darbību (nevis izglītības iestādi); (iv) pie katra rezultatīvā rādītāja ir dots kvalitātes līmeņa vērtējums punktos, (v) pēc vadītāja ieskaitiem pie rezultatīvā rādītāja nosauktas stiprās puses un turpmākās attīstības vajadzības vai arī atstāt</w:t>
            </w:r>
            <w:r w:rsidR="00DC7475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 xml:space="preserve"> neaizpildīta vieta, vai arī pēc nepieciešamības apvienotas vairākas rezultatīvo rādītāju stiprās puses un/vai turpmākās attīstības vajadzības.</w:t>
            </w:r>
          </w:p>
        </w:tc>
        <w:tc>
          <w:tcPr>
            <w:tcW w:w="1276" w:type="dxa"/>
          </w:tcPr>
          <w:p w:rsidR="002E70C3" w:rsidRPr="0006725D" w:rsidRDefault="002E70C3" w:rsidP="002E70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70C3" w:rsidRPr="0006725D" w:rsidTr="00005661">
        <w:trPr>
          <w:jc w:val="center"/>
        </w:trPr>
        <w:tc>
          <w:tcPr>
            <w:tcW w:w="959" w:type="dxa"/>
          </w:tcPr>
          <w:p w:rsidR="002E70C3" w:rsidRPr="002E70C3" w:rsidRDefault="002E70C3" w:rsidP="002E70C3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70" w:type="dxa"/>
          </w:tcPr>
          <w:p w:rsidR="002E70C3" w:rsidRPr="00DA7C42" w:rsidRDefault="00DA7C42" w:rsidP="002E70C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Kritērija “</w:t>
            </w:r>
            <w:r w:rsidR="00DC7475">
              <w:rPr>
                <w:rFonts w:ascii="Times New Roman" w:hAnsi="Times New Roman" w:cs="Times New Roman"/>
                <w:bCs/>
              </w:rPr>
              <w:t>Pedagogu profesionālā kapacitāte</w:t>
            </w:r>
            <w:r>
              <w:rPr>
                <w:rFonts w:ascii="Times New Roman" w:hAnsi="Times New Roman" w:cs="Times New Roman"/>
                <w:bCs/>
              </w:rPr>
              <w:t>” kvalitātes novērtēšanā ir: (i) dota informācija par vērtēšanā izmantoto metodi vai metodēm; (ii) norādīts iegūtais kvalitātes līmenis; (iii) par katru no kvalitātes vērtēšanā izmantotajām metodēm ir dots secinājums/-i, kuri attiecas uz izglītības iestādes darb</w:t>
            </w:r>
            <w:r w:rsidR="00DC7475">
              <w:rPr>
                <w:rFonts w:ascii="Times New Roman" w:hAnsi="Times New Roman" w:cs="Times New Roman"/>
                <w:bCs/>
              </w:rPr>
              <w:t>u</w:t>
            </w:r>
            <w:r>
              <w:rPr>
                <w:rFonts w:ascii="Times New Roman" w:hAnsi="Times New Roman" w:cs="Times New Roman"/>
                <w:bCs/>
              </w:rPr>
              <w:t xml:space="preserve">; (iv) pie katra rezultatīvā rādītāja ir dots kvalitātes līmeņa vērtējums punktos, (v) pēc </w:t>
            </w:r>
            <w:r w:rsidR="00DC7475">
              <w:rPr>
                <w:rFonts w:ascii="Times New Roman" w:hAnsi="Times New Roman" w:cs="Times New Roman"/>
                <w:bCs/>
              </w:rPr>
              <w:t>iestādes skatījuma</w:t>
            </w:r>
            <w:r>
              <w:rPr>
                <w:rFonts w:ascii="Times New Roman" w:hAnsi="Times New Roman" w:cs="Times New Roman"/>
                <w:bCs/>
              </w:rPr>
              <w:t xml:space="preserve"> pie rezultatīvā rādītāja nosauktas stiprās puses un turpmākās attīstības vajadzības vai arī atstāt</w:t>
            </w:r>
            <w:r w:rsidR="00DC7475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 xml:space="preserve"> neaizpildīta vieta, vai arī pēc nepieciešamības apvienotas vairākas rezultatīvo rādītāju stiprās puses un/vai turpmākās attīstības vajadzības.</w:t>
            </w:r>
          </w:p>
        </w:tc>
        <w:tc>
          <w:tcPr>
            <w:tcW w:w="1276" w:type="dxa"/>
          </w:tcPr>
          <w:p w:rsidR="002E70C3" w:rsidRPr="0006725D" w:rsidRDefault="002E70C3" w:rsidP="002E70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70C3" w:rsidRPr="00DC7475" w:rsidTr="00005661">
        <w:trPr>
          <w:jc w:val="center"/>
        </w:trPr>
        <w:tc>
          <w:tcPr>
            <w:tcW w:w="959" w:type="dxa"/>
          </w:tcPr>
          <w:p w:rsidR="002E70C3" w:rsidRPr="00DC7475" w:rsidRDefault="002E70C3" w:rsidP="002E70C3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70" w:type="dxa"/>
          </w:tcPr>
          <w:p w:rsidR="002E70C3" w:rsidRPr="00DC7475" w:rsidRDefault="00DC7475" w:rsidP="002E70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7475">
              <w:rPr>
                <w:rFonts w:ascii="Times New Roman" w:hAnsi="Times New Roman" w:cs="Times New Roman"/>
                <w:bCs/>
              </w:rPr>
              <w:t xml:space="preserve">Izglītības iestāde ir sniegusi informāciju par pēdējās akreditācijas </w:t>
            </w:r>
            <w:r>
              <w:rPr>
                <w:rFonts w:ascii="Times New Roman" w:hAnsi="Times New Roman" w:cs="Times New Roman"/>
                <w:bCs/>
              </w:rPr>
              <w:t xml:space="preserve">/ iestādes vadītāja profesionālās darbības novērtēšanā saņemto </w:t>
            </w:r>
            <w:r w:rsidRPr="00DC7475">
              <w:rPr>
                <w:rFonts w:ascii="Times New Roman" w:hAnsi="Times New Roman" w:cs="Times New Roman"/>
                <w:bCs/>
              </w:rPr>
              <w:t>uzdevumu izpildi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DC7475">
              <w:rPr>
                <w:rFonts w:ascii="Times New Roman" w:hAnsi="Times New Roman" w:cs="Times New Roman"/>
                <w:bCs/>
              </w:rPr>
              <w:t>ja akreditācija</w:t>
            </w:r>
            <w:r>
              <w:rPr>
                <w:rFonts w:ascii="Times New Roman" w:hAnsi="Times New Roman" w:cs="Times New Roman"/>
                <w:bCs/>
              </w:rPr>
              <w:t xml:space="preserve"> / iestādes vadītāja profesionālās darbības novērtēšana</w:t>
            </w:r>
            <w:r w:rsidRPr="00DC7475">
              <w:rPr>
                <w:rFonts w:ascii="Times New Roman" w:hAnsi="Times New Roman" w:cs="Times New Roman"/>
                <w:bCs/>
              </w:rPr>
              <w:t xml:space="preserve"> ir notikusi 2019./2020. </w:t>
            </w:r>
            <w:proofErr w:type="spellStart"/>
            <w:r w:rsidRPr="00DC7475">
              <w:rPr>
                <w:rFonts w:ascii="Times New Roman" w:hAnsi="Times New Roman" w:cs="Times New Roman"/>
                <w:bCs/>
              </w:rPr>
              <w:t>māc.g</w:t>
            </w:r>
            <w:proofErr w:type="spellEnd"/>
            <w:r w:rsidRPr="00DC7475">
              <w:rPr>
                <w:rFonts w:ascii="Times New Roman" w:hAnsi="Times New Roman" w:cs="Times New Roman"/>
                <w:bCs/>
              </w:rPr>
              <w:t>. un/vai 2020./2021.māc.g.</w:t>
            </w:r>
            <w:r>
              <w:rPr>
                <w:rFonts w:ascii="Times New Roman" w:hAnsi="Times New Roman" w:cs="Times New Roman"/>
                <w:bCs/>
              </w:rPr>
              <w:t>). Informācija ir sniegta par katru uzdevumu, īsi un konkrēti norādot paveikto. Ja akreditācija / vadītāja profesionālās darbības novērtēšanu pēdējo divu mācību gadu laikā nav notikusi, tad tas ir norādīts pašnovērtējuma ziņojumā.</w:t>
            </w:r>
          </w:p>
        </w:tc>
        <w:tc>
          <w:tcPr>
            <w:tcW w:w="1276" w:type="dxa"/>
          </w:tcPr>
          <w:p w:rsidR="002E70C3" w:rsidRPr="00DC7475" w:rsidRDefault="002E70C3" w:rsidP="002E70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E70C3" w:rsidRPr="00DC7475" w:rsidTr="00005661">
        <w:trPr>
          <w:jc w:val="center"/>
        </w:trPr>
        <w:tc>
          <w:tcPr>
            <w:tcW w:w="959" w:type="dxa"/>
          </w:tcPr>
          <w:p w:rsidR="002E70C3" w:rsidRPr="00DC7475" w:rsidRDefault="002E70C3" w:rsidP="002E70C3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70" w:type="dxa"/>
          </w:tcPr>
          <w:p w:rsidR="002E70C3" w:rsidRPr="00DC7475" w:rsidRDefault="00DC7475" w:rsidP="002E70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5B2C">
              <w:rPr>
                <w:rFonts w:ascii="Times New Roman" w:hAnsi="Times New Roman" w:cs="Times New Roman"/>
                <w:bCs/>
                <w:highlight w:val="yellow"/>
              </w:rPr>
              <w:t>Pēc izglītības iestādes ieskatiem ir/nav sniegti ieteikumi izglītības / nozaru politikas jautājumos vai arī norādīts, ka šādu ieteikumu nav.</w:t>
            </w:r>
          </w:p>
        </w:tc>
        <w:tc>
          <w:tcPr>
            <w:tcW w:w="1276" w:type="dxa"/>
          </w:tcPr>
          <w:p w:rsidR="002E70C3" w:rsidRPr="00DC7475" w:rsidRDefault="002E70C3" w:rsidP="002E70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F4B31" w:rsidRPr="0006725D" w:rsidTr="00005661">
        <w:trPr>
          <w:jc w:val="center"/>
        </w:trPr>
        <w:tc>
          <w:tcPr>
            <w:tcW w:w="959" w:type="dxa"/>
          </w:tcPr>
          <w:p w:rsidR="007D5C89" w:rsidRPr="0006725D" w:rsidRDefault="007D5C89" w:rsidP="00EA7FD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0" w:type="dxa"/>
          </w:tcPr>
          <w:p w:rsidR="007D5C89" w:rsidRPr="0006725D" w:rsidRDefault="00DC7475" w:rsidP="00F539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725D">
              <w:rPr>
                <w:rFonts w:ascii="Times New Roman" w:hAnsi="Times New Roman" w:cs="Times New Roman"/>
                <w:b/>
              </w:rPr>
              <w:t>Izglītības iestādes pašnovērtējuma ziņojums ir iesūtīts Izglītības kvalitātes valsts dienestam līdz 1.</w:t>
            </w:r>
            <w:r>
              <w:rPr>
                <w:rFonts w:ascii="Times New Roman" w:hAnsi="Times New Roman" w:cs="Times New Roman"/>
                <w:b/>
              </w:rPr>
              <w:t>novembrim</w:t>
            </w:r>
            <w:r w:rsidRPr="0006725D">
              <w:rPr>
                <w:rFonts w:ascii="Times New Roman" w:hAnsi="Times New Roman" w:cs="Times New Roman"/>
                <w:b/>
              </w:rPr>
              <w:t xml:space="preserve"> e-pastā </w:t>
            </w:r>
            <w:hyperlink r:id="rId6" w:history="1">
              <w:r w:rsidRPr="0006725D">
                <w:rPr>
                  <w:rStyle w:val="Hyperlink"/>
                  <w:rFonts w:ascii="Times New Roman" w:hAnsi="Times New Roman" w:cs="Times New Roman"/>
                  <w:b/>
                </w:rPr>
                <w:t>pasnovertejums@ikvd.gov.lv</w:t>
              </w:r>
            </w:hyperlink>
            <w:r w:rsidRPr="0006725D">
              <w:rPr>
                <w:rFonts w:ascii="Times New Roman" w:hAnsi="Times New Roman" w:cs="Times New Roman"/>
                <w:b/>
              </w:rPr>
              <w:t xml:space="preserve"> un kā e-pasta tēma ir norādīt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06725D">
              <w:rPr>
                <w:rFonts w:ascii="Times New Roman" w:hAnsi="Times New Roman" w:cs="Times New Roman"/>
                <w:b/>
              </w:rPr>
              <w:t xml:space="preserve"> izglītības iestādes nosaukums</w:t>
            </w:r>
            <w:r>
              <w:rPr>
                <w:rFonts w:ascii="Times New Roman" w:hAnsi="Times New Roman" w:cs="Times New Roman"/>
                <w:b/>
              </w:rPr>
              <w:t>. Pielikumā ir pievienots 2020./2021.māc.g. pašnovērtējuma ziņojums un 2019./2020.māc.g. pašnovērtējuma ziņojums (ja ir).</w:t>
            </w:r>
          </w:p>
        </w:tc>
        <w:tc>
          <w:tcPr>
            <w:tcW w:w="1276" w:type="dxa"/>
          </w:tcPr>
          <w:p w:rsidR="007D5C89" w:rsidRPr="0006725D" w:rsidRDefault="007D5C89" w:rsidP="00D37D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4B31" w:rsidRPr="0006725D" w:rsidTr="00005661">
        <w:trPr>
          <w:jc w:val="center"/>
        </w:trPr>
        <w:tc>
          <w:tcPr>
            <w:tcW w:w="959" w:type="dxa"/>
          </w:tcPr>
          <w:p w:rsidR="00EF4B31" w:rsidRPr="0006725D" w:rsidRDefault="00EF4B31" w:rsidP="00EF4B3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0" w:type="dxa"/>
          </w:tcPr>
          <w:p w:rsidR="00EF4B31" w:rsidRPr="0006725D" w:rsidRDefault="00DC7475" w:rsidP="00EF4B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725D">
              <w:rPr>
                <w:rFonts w:ascii="Times New Roman" w:hAnsi="Times New Roman" w:cs="Times New Roman"/>
                <w:b/>
              </w:rPr>
              <w:t>Izglītības iestādes pašnovērtējuma ziņojum</w:t>
            </w:r>
            <w:r>
              <w:rPr>
                <w:rFonts w:ascii="Times New Roman" w:hAnsi="Times New Roman" w:cs="Times New Roman"/>
                <w:b/>
              </w:rPr>
              <w:t>a publiskojamā daļa</w:t>
            </w:r>
            <w:r w:rsidRPr="0006725D">
              <w:rPr>
                <w:rFonts w:ascii="Times New Roman" w:hAnsi="Times New Roman" w:cs="Times New Roman"/>
                <w:b/>
              </w:rPr>
              <w:t xml:space="preserve"> ir ievietot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06725D">
              <w:rPr>
                <w:rFonts w:ascii="Times New Roman" w:hAnsi="Times New Roman" w:cs="Times New Roman"/>
                <w:b/>
              </w:rPr>
              <w:t xml:space="preserve"> izglītības iestādes vai tās dibinātāja tīmekļa vietnē.</w:t>
            </w:r>
          </w:p>
        </w:tc>
        <w:tc>
          <w:tcPr>
            <w:tcW w:w="1276" w:type="dxa"/>
          </w:tcPr>
          <w:p w:rsidR="00EF4B31" w:rsidRPr="0006725D" w:rsidRDefault="00EF4B31" w:rsidP="00D37D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D5C89" w:rsidRDefault="007D5C89" w:rsidP="007D5C89">
      <w:pPr>
        <w:spacing w:after="0" w:line="240" w:lineRule="auto"/>
        <w:jc w:val="both"/>
      </w:pPr>
    </w:p>
    <w:p w:rsidR="00005661" w:rsidRDefault="00005661" w:rsidP="007D5C89">
      <w:pPr>
        <w:spacing w:after="0" w:line="240" w:lineRule="auto"/>
        <w:jc w:val="both"/>
      </w:pPr>
    </w:p>
    <w:sectPr w:rsidR="00005661" w:rsidSect="00005661">
      <w:pgSz w:w="11906" w:h="16838"/>
      <w:pgMar w:top="709" w:right="1133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887"/>
    <w:multiLevelType w:val="hybridMultilevel"/>
    <w:tmpl w:val="C010AECA"/>
    <w:lvl w:ilvl="0" w:tplc="154EB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EBF52">
      <w:start w:val="19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C6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6A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48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08E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82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6F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C1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034DE9"/>
    <w:multiLevelType w:val="hybridMultilevel"/>
    <w:tmpl w:val="59E40520"/>
    <w:lvl w:ilvl="0" w:tplc="D64E2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9C02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21D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8C8E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96F6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5898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3A00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A423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083C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4B628E"/>
    <w:multiLevelType w:val="hybridMultilevel"/>
    <w:tmpl w:val="446432EC"/>
    <w:lvl w:ilvl="0" w:tplc="E0220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6192">
      <w:start w:val="19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23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4D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6D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C2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8D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2F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4E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581CBA"/>
    <w:multiLevelType w:val="hybridMultilevel"/>
    <w:tmpl w:val="A2C4E746"/>
    <w:lvl w:ilvl="0" w:tplc="0D42E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927D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5211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6A9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589C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C0E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6E8A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68C0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709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84653C"/>
    <w:multiLevelType w:val="hybridMultilevel"/>
    <w:tmpl w:val="C25A9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82B30"/>
    <w:multiLevelType w:val="hybridMultilevel"/>
    <w:tmpl w:val="018803A2"/>
    <w:lvl w:ilvl="0" w:tplc="9F8A0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4DA32">
      <w:start w:val="190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80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802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48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04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68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A0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85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8242F7"/>
    <w:multiLevelType w:val="hybridMultilevel"/>
    <w:tmpl w:val="41443CFE"/>
    <w:lvl w:ilvl="0" w:tplc="529820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7CE123AE"/>
    <w:multiLevelType w:val="multilevel"/>
    <w:tmpl w:val="06E86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7D5C89"/>
    <w:rsid w:val="00005661"/>
    <w:rsid w:val="0006725D"/>
    <w:rsid w:val="000D56D6"/>
    <w:rsid w:val="000F5B2C"/>
    <w:rsid w:val="001245DF"/>
    <w:rsid w:val="001706EB"/>
    <w:rsid w:val="001A1F3A"/>
    <w:rsid w:val="001A2E38"/>
    <w:rsid w:val="00262A23"/>
    <w:rsid w:val="002B697D"/>
    <w:rsid w:val="002D2090"/>
    <w:rsid w:val="002E70C3"/>
    <w:rsid w:val="0043792F"/>
    <w:rsid w:val="0048710F"/>
    <w:rsid w:val="00722992"/>
    <w:rsid w:val="00746562"/>
    <w:rsid w:val="007D5C89"/>
    <w:rsid w:val="007E0F6A"/>
    <w:rsid w:val="0082420D"/>
    <w:rsid w:val="008627E9"/>
    <w:rsid w:val="008A1A46"/>
    <w:rsid w:val="00A41B64"/>
    <w:rsid w:val="00A50C52"/>
    <w:rsid w:val="00A905A4"/>
    <w:rsid w:val="00C22011"/>
    <w:rsid w:val="00C22BF5"/>
    <w:rsid w:val="00C77EF5"/>
    <w:rsid w:val="00D14DAE"/>
    <w:rsid w:val="00D16A65"/>
    <w:rsid w:val="00D302F9"/>
    <w:rsid w:val="00D37D24"/>
    <w:rsid w:val="00D615BA"/>
    <w:rsid w:val="00DA7C42"/>
    <w:rsid w:val="00DC7475"/>
    <w:rsid w:val="00E655C1"/>
    <w:rsid w:val="00EA7FDB"/>
    <w:rsid w:val="00EF4B31"/>
    <w:rsid w:val="00F5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5C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B3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2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420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96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25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85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4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556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69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3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8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03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20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685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novertejums@ikvd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BC9BB-0975-436E-9DE2-08395328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5194</Words>
  <Characters>2961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Windows User</cp:lastModifiedBy>
  <cp:revision>3</cp:revision>
  <cp:lastPrinted>2021-05-31T14:17:00Z</cp:lastPrinted>
  <dcterms:created xsi:type="dcterms:W3CDTF">2021-12-14T13:23:00Z</dcterms:created>
  <dcterms:modified xsi:type="dcterms:W3CDTF">2021-12-27T19:27:00Z</dcterms:modified>
</cp:coreProperties>
</file>