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1929" w14:textId="77777777" w:rsidR="0010716C" w:rsidRDefault="0010716C" w:rsidP="0010716C">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w:t>
      </w:r>
      <w:proofErr w:type="spellStart"/>
      <w:r>
        <w:rPr>
          <w:rFonts w:ascii="Times New Roman" w:eastAsia="Times New Roman" w:hAnsi="Times New Roman" w:cs="Times New Roman"/>
          <w:b/>
          <w:sz w:val="32"/>
          <w:szCs w:val="32"/>
          <w:lang w:eastAsia="lv-LV"/>
        </w:rPr>
        <w:t>pašvērtēšanai</w:t>
      </w:r>
      <w:proofErr w:type="spellEnd"/>
      <w:r>
        <w:rPr>
          <w:rFonts w:ascii="Times New Roman" w:eastAsia="Times New Roman" w:hAnsi="Times New Roman" w:cs="Times New Roman"/>
          <w:b/>
          <w:sz w:val="32"/>
          <w:szCs w:val="32"/>
          <w:lang w:eastAsia="lv-LV"/>
        </w:rPr>
        <w:t xml:space="preserve"> </w:t>
      </w:r>
    </w:p>
    <w:p w14:paraId="124500C8" w14:textId="2FA64887" w:rsidR="0010716C" w:rsidRDefault="0010716C" w:rsidP="0010716C">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vispārējā pamatizglītībā un vispārējā vidējā izglītībā 2022./2023.māc.g.</w:t>
      </w:r>
      <w:r w:rsidR="003C3DB2">
        <w:rPr>
          <w:rFonts w:ascii="Times New Roman" w:eastAsia="Times New Roman" w:hAnsi="Times New Roman" w:cs="Times New Roman"/>
          <w:b/>
          <w:sz w:val="32"/>
          <w:szCs w:val="32"/>
          <w:lang w:eastAsia="lv-LV"/>
        </w:rPr>
        <w:t>*</w:t>
      </w:r>
    </w:p>
    <w:p w14:paraId="6328D2C4" w14:textId="77777777" w:rsidR="007D72A9" w:rsidRDefault="007D72A9">
      <w:pPr>
        <w:spacing w:after="0" w:line="240" w:lineRule="auto"/>
        <w:jc w:val="center"/>
        <w:outlineLvl w:val="0"/>
        <w:rPr>
          <w:rFonts w:ascii="Times New Roman" w:eastAsia="Times New Roman" w:hAnsi="Times New Roman" w:cs="Times New Roman"/>
          <w:bCs/>
          <w:sz w:val="32"/>
          <w:szCs w:val="32"/>
          <w:lang w:eastAsia="lv-LV"/>
        </w:rPr>
      </w:pPr>
    </w:p>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5B36CE48" w:rsidR="007D72A9" w:rsidRDefault="00B11196">
      <w:pPr>
        <w:spacing w:after="0" w:line="240" w:lineRule="auto"/>
        <w:jc w:val="both"/>
        <w:outlineLvl w:val="0"/>
        <w:rPr>
          <w:rFonts w:ascii="Times New Roman" w:eastAsia="Times New Roman" w:hAnsi="Times New Roman" w:cs="Times New Roman"/>
          <w:b/>
          <w:sz w:val="24"/>
          <w:szCs w:val="24"/>
          <w:lang w:eastAsia="lv-LV"/>
        </w:rPr>
      </w:pPr>
      <w:r w:rsidRPr="00503910">
        <w:rPr>
          <w:rFonts w:ascii="Times New Roman" w:eastAsia="Times New Roman" w:hAnsi="Times New Roman" w:cs="Times New Roman"/>
          <w:b/>
          <w:sz w:val="24"/>
          <w:szCs w:val="24"/>
          <w:lang w:eastAsia="lv-LV"/>
        </w:rPr>
        <w:t>1.</w:t>
      </w:r>
      <w:r w:rsidR="00F92724">
        <w:rPr>
          <w:rFonts w:ascii="Times New Roman" w:eastAsia="Times New Roman" w:hAnsi="Times New Roman" w:cs="Times New Roman"/>
          <w:b/>
          <w:sz w:val="24"/>
          <w:szCs w:val="24"/>
          <w:lang w:eastAsia="lv-LV"/>
        </w:rPr>
        <w:t>3</w:t>
      </w:r>
      <w:r w:rsidRPr="00503910">
        <w:rPr>
          <w:rFonts w:ascii="Times New Roman" w:eastAsia="Times New Roman" w:hAnsi="Times New Roman" w:cs="Times New Roman"/>
          <w:b/>
          <w:sz w:val="24"/>
          <w:szCs w:val="24"/>
          <w:lang w:eastAsia="lv-LV"/>
        </w:rPr>
        <w:t xml:space="preserve">. </w:t>
      </w:r>
      <w:r w:rsidR="007443E3" w:rsidRPr="00503910">
        <w:rPr>
          <w:rFonts w:ascii="Times New Roman" w:eastAsia="Times New Roman" w:hAnsi="Times New Roman" w:cs="Times New Roman"/>
          <w:b/>
          <w:sz w:val="24"/>
          <w:szCs w:val="24"/>
          <w:lang w:eastAsia="lv-LV"/>
        </w:rPr>
        <w:t>Kritērijs – IZGLĪTĪBAS TURPINĀŠANA UN NODARBINĀTĪBA</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2ACA98A2" w14:textId="77777777" w:rsidR="00F92724" w:rsidRDefault="007443E3" w:rsidP="00F92724">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F92724">
        <w:rPr>
          <w:rFonts w:ascii="Times New Roman" w:eastAsia="Times New Roman" w:hAnsi="Times New Roman" w:cs="Times New Roman"/>
          <w:bCs/>
          <w:sz w:val="24"/>
          <w:szCs w:val="24"/>
          <w:lang w:eastAsia="lv-LV"/>
        </w:rPr>
        <w:t>Izglītības iestādes darbs ar izglītojamiem, kam ir zemi mācību sasniegumi;</w:t>
      </w:r>
    </w:p>
    <w:p w14:paraId="00AC1F7E" w14:textId="77777777" w:rsidR="00F92724" w:rsidRPr="00F92724" w:rsidRDefault="007443E3" w:rsidP="00F92724">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F92724">
        <w:rPr>
          <w:rFonts w:ascii="Times New Roman" w:hAnsi="Times New Roman" w:cs="Times New Roman"/>
          <w:sz w:val="24"/>
          <w:szCs w:val="24"/>
        </w:rPr>
        <w:t xml:space="preserve">Izglītības iestādes rīcība, izvērtējot absolventu un/vai viņu vecāku sniegto informāciju par nepieciešamo rīcību izglītības procesa pilnveidei; </w:t>
      </w:r>
    </w:p>
    <w:p w14:paraId="7220F7FD" w14:textId="77777777" w:rsidR="00F92724" w:rsidRDefault="007443E3" w:rsidP="00F92724">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F92724">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4E0F81E3" w14:textId="77777777" w:rsidR="00F92724" w:rsidRPr="00F92724" w:rsidRDefault="008D0A77" w:rsidP="00F92724">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F92724">
        <w:rPr>
          <w:rFonts w:ascii="Times New Roman" w:hAnsi="Times New Roman" w:cs="Times New Roman"/>
          <w:sz w:val="24"/>
          <w:szCs w:val="24"/>
        </w:rPr>
        <w:t>Izglītības iestādes īstenotā karjeras izglītība (tiek izvērtēts vispārējās izglītības iestādēs, izņemot pirmsskolas izglītības iestādēs);</w:t>
      </w:r>
      <w:bookmarkEnd w:id="0"/>
    </w:p>
    <w:p w14:paraId="5330B1B0" w14:textId="7554B779" w:rsidR="007D72A9" w:rsidRPr="00F92724" w:rsidRDefault="00134690" w:rsidP="00F92724">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F92724">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A93073">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A93073">
        <w:tc>
          <w:tcPr>
            <w:tcW w:w="1553" w:type="dxa"/>
          </w:tcPr>
          <w:p w14:paraId="72CBB6F1" w14:textId="2A5386B3"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18038D">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rsidTr="00A93073">
        <w:tc>
          <w:tcPr>
            <w:tcW w:w="1553" w:type="dxa"/>
          </w:tcPr>
          <w:p w14:paraId="434642C2" w14:textId="77777777"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18038D">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p w14:paraId="34F3BEA8" w14:textId="193938D7" w:rsidR="003C3DB2" w:rsidRPr="003C3DB2" w:rsidRDefault="003C3DB2" w:rsidP="003C3DB2">
            <w:pPr>
              <w:jc w:val="center"/>
              <w:rPr>
                <w:rFonts w:ascii="Times New Roman" w:eastAsia="Times New Roman" w:hAnsi="Times New Roman" w:cs="Times New Roman"/>
                <w:sz w:val="24"/>
                <w:szCs w:val="24"/>
                <w:lang w:eastAsia="lv-LV"/>
              </w:rPr>
            </w:pP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mācību noslēgumā un/vai izglītojamiem mainot izglītības iestādi, izzina izglītojamo, absolventu </w:t>
            </w:r>
            <w:r>
              <w:rPr>
                <w:rFonts w:ascii="Times New Roman" w:eastAsia="Times New Roman" w:hAnsi="Times New Roman" w:cs="Times New Roman"/>
                <w:bCs/>
                <w:sz w:val="24"/>
                <w:szCs w:val="24"/>
                <w:lang w:eastAsia="lv-LV"/>
              </w:rPr>
              <w:lastRenderedPageBreak/>
              <w:t>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vērtējumu par mācībām, izvērtē iegūto </w:t>
            </w:r>
            <w:r>
              <w:rPr>
                <w:rFonts w:ascii="Times New Roman" w:eastAsia="Times New Roman" w:hAnsi="Times New Roman" w:cs="Times New Roman"/>
                <w:bCs/>
                <w:sz w:val="24"/>
                <w:szCs w:val="24"/>
                <w:lang w:eastAsia="lv-LV"/>
              </w:rPr>
              <w:lastRenderedPageBreak/>
              <w:t>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vērtējumu par mācībām, izvērtē vai </w:t>
            </w:r>
            <w:r>
              <w:rPr>
                <w:rFonts w:ascii="Times New Roman" w:eastAsia="Times New Roman" w:hAnsi="Times New Roman" w:cs="Times New Roman"/>
                <w:bCs/>
                <w:sz w:val="24"/>
                <w:szCs w:val="24"/>
                <w:lang w:eastAsia="lv-LV"/>
              </w:rPr>
              <w:lastRenderedPageBreak/>
              <w:t>daļēji izvērtē iegūto informāciju, bet turpina strādāt ar tiem pašiem trūkumiem, uz kuriem norāda absolventi un/vai viņu vecāki.</w:t>
            </w:r>
          </w:p>
        </w:tc>
      </w:tr>
      <w:tr w:rsidR="007D72A9" w14:paraId="43782C62" w14:textId="77777777" w:rsidTr="00A93073">
        <w:tc>
          <w:tcPr>
            <w:tcW w:w="1553" w:type="dxa"/>
          </w:tcPr>
          <w:p w14:paraId="576BFEAC" w14:textId="118A4146"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18038D">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5AF24979" w14:textId="77777777" w:rsidTr="00A93073">
        <w:tc>
          <w:tcPr>
            <w:tcW w:w="1553" w:type="dxa"/>
          </w:tcPr>
          <w:p w14:paraId="744B855D" w14:textId="3E1762FC"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18038D">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104831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regulāri un sistēmiski iepazīstina izglītojamos ar dažādiem karjeras izglītības jautājumiem atbilstoši izglītības programmai, vecumposma iezīmēm, dod iespēju iepazīt dažādas profesijas, to raksturīgās iezīmes. Karjeras izglītība tiek īstenota gan kā integrēta izglītības programmas daļa dažādos mācību priekšmetos, gan ir pieejamas karjeras konsultanta sniegtās konsultācijas par turpmākās izglītības </w:t>
            </w:r>
            <w:r>
              <w:rPr>
                <w:rFonts w:ascii="Times New Roman" w:eastAsia="Times New Roman" w:hAnsi="Times New Roman" w:cs="Times New Roman"/>
                <w:bCs/>
                <w:sz w:val="24"/>
                <w:szCs w:val="24"/>
                <w:lang w:eastAsia="lv-LV"/>
              </w:rPr>
              <w:lastRenderedPageBreak/>
              <w:t>ieguves iespējām un/vai personības raksturīgām iezīmēm. Izglītības iestāde dod plašas iespējas iepazīt citas izglītības iestādes (piemēram, profesionālā vidējā izglītība, citas izglītības iestādes u.tml.), lai izglītojamie apzināti pieņemtu lēmumu par izglītības turpināšanu.</w:t>
            </w:r>
          </w:p>
        </w:tc>
        <w:tc>
          <w:tcPr>
            <w:tcW w:w="3989" w:type="dxa"/>
          </w:tcPr>
          <w:p w14:paraId="3CAD55C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regulāri iepazīstina izglītojamos ar dažādiem karjeras izglītības jautājumiem atbilstoši izglītības programmai, vecumposma iezīmēm, dodot iespēju iepazīt dažādas profesijas, tām raksturīgo. Karjeras izglītība pamatā tiek nodrošināta kā karjeras konsultanta veiktais darbs un dažkārt kā integrēta izglītības programmas daļa (piemēram, pasākums, ekskursija). Izglītības iestāde dod iespēju iepazīt dažādas </w:t>
            </w:r>
            <w:r>
              <w:rPr>
                <w:rFonts w:ascii="Times New Roman" w:eastAsia="Times New Roman" w:hAnsi="Times New Roman" w:cs="Times New Roman"/>
                <w:bCs/>
                <w:sz w:val="24"/>
                <w:szCs w:val="24"/>
                <w:lang w:eastAsia="lv-LV"/>
              </w:rPr>
              <w:lastRenderedPageBreak/>
              <w:t xml:space="preserve">iespējas izglītības turpināšanai, tomēr izglītojamiem ir bijusi neliela iespēja iepazīt citas izglītības iestādes, lai pieņemtu apzinātu lēmumu par izglītības turpināšanu nākamajā izglītības pakāpē. </w:t>
            </w:r>
          </w:p>
        </w:tc>
        <w:tc>
          <w:tcPr>
            <w:tcW w:w="3990" w:type="dxa"/>
          </w:tcPr>
          <w:p w14:paraId="60C0AE7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nav sistēmiskas pieejas karjeras izglītības jautājumos.  Izglītības iestāde aktualizē dažādus karjeras izglītības pasākumus atbilstoši izglītības programmai, vecumposma iezīmēm to pamatā atstājot pedagogu individuālā pārziņā. Izglītojamie ir iepazīstināti ar dažādām profesijām, ir bijuši ekskursijās un/vai piedalījušies pasākumos, kuri atklāj dažādu profesiju iezīmes. Izglītības iestādē nav pieejami karjeras konsultanta pakalpojumi vai </w:t>
            </w:r>
            <w:r>
              <w:rPr>
                <w:rFonts w:ascii="Times New Roman" w:eastAsia="Times New Roman" w:hAnsi="Times New Roman" w:cs="Times New Roman"/>
                <w:bCs/>
                <w:sz w:val="24"/>
                <w:szCs w:val="24"/>
                <w:lang w:eastAsia="lv-LV"/>
              </w:rPr>
              <w:lastRenderedPageBreak/>
              <w:t>arī tie ir neregulāri. Izglītojamiem nav pieejama iespēja iepazīt citas izglītības iestādes, lai pieņemtu apzinātu lēmumu par izglītības turpināšanu nākamajā izglītības pakāpē.</w:t>
            </w:r>
          </w:p>
        </w:tc>
      </w:tr>
      <w:tr w:rsidR="007D72A9" w14:paraId="54799163" w14:textId="77777777" w:rsidTr="00A93073">
        <w:tc>
          <w:tcPr>
            <w:tcW w:w="1553" w:type="dxa"/>
          </w:tcPr>
          <w:p w14:paraId="3288E171" w14:textId="1E74C5D1"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18038D">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503910">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6F11CC44" w14:textId="14928F6C" w:rsidR="007D72A9" w:rsidRDefault="007D72A9" w:rsidP="00055B3A">
      <w:pPr>
        <w:spacing w:after="0" w:line="240" w:lineRule="auto"/>
        <w:outlineLvl w:val="0"/>
        <w:rPr>
          <w:rFonts w:ascii="Times New Roman" w:eastAsia="Times New Roman" w:hAnsi="Times New Roman" w:cs="Times New Roman"/>
          <w:bCs/>
          <w:sz w:val="32"/>
          <w:szCs w:val="32"/>
          <w:lang w:eastAsia="lv-LV"/>
        </w:rPr>
      </w:pPr>
    </w:p>
    <w:p w14:paraId="5594E3CC" w14:textId="77777777" w:rsidR="00055B3A" w:rsidRDefault="00055B3A" w:rsidP="00055B3A">
      <w:pPr>
        <w:spacing w:after="0" w:line="240" w:lineRule="auto"/>
        <w:outlineLvl w:val="0"/>
        <w:rPr>
          <w:rFonts w:ascii="Times New Roman" w:eastAsia="Times New Roman" w:hAnsi="Times New Roman" w:cs="Times New Roman"/>
          <w:bCs/>
          <w:sz w:val="32"/>
          <w:szCs w:val="32"/>
          <w:lang w:eastAsia="lv-LV"/>
        </w:rPr>
      </w:pPr>
    </w:p>
    <w:p w14:paraId="18D63FB9"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p w14:paraId="6E5748C9" w14:textId="7FD48D80" w:rsidR="007D72A9" w:rsidRDefault="00172ECD">
      <w:pPr>
        <w:spacing w:after="0" w:line="240" w:lineRule="auto"/>
        <w:jc w:val="both"/>
        <w:outlineLvl w:val="0"/>
        <w:rPr>
          <w:rFonts w:ascii="Times New Roman" w:eastAsia="Times New Roman" w:hAnsi="Times New Roman" w:cs="Times New Roman"/>
          <w:b/>
          <w:sz w:val="24"/>
          <w:szCs w:val="24"/>
          <w:lang w:eastAsia="lv-LV"/>
        </w:rPr>
      </w:pPr>
      <w:r w:rsidRPr="00055B3A">
        <w:rPr>
          <w:rFonts w:ascii="Times New Roman" w:eastAsia="Times New Roman" w:hAnsi="Times New Roman" w:cs="Times New Roman"/>
          <w:b/>
          <w:sz w:val="24"/>
          <w:szCs w:val="24"/>
          <w:lang w:eastAsia="lv-LV"/>
        </w:rPr>
        <w:lastRenderedPageBreak/>
        <w:t xml:space="preserve">2.1. </w:t>
      </w:r>
      <w:r w:rsidR="007443E3" w:rsidRPr="00055B3A">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1D6A340E" w14:textId="77777777" w:rsidR="007123AA" w:rsidRDefault="007443E3"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2CF1072B" w14:textId="77777777" w:rsidR="007123AA" w:rsidRPr="007123AA" w:rsidRDefault="00563D69"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cs="Times New Roman"/>
          <w:sz w:val="24"/>
          <w:szCs w:val="24"/>
        </w:rPr>
        <w:t>Izglītības procesa plānošanas un īstenošanas efektivitāte un kvalitāte (tiek izvērtēts vispārējās izglītības iestādēs un profesionālās vidējās izglītības iestādēs vispārizglītojošajos mācību priekšmetos klātienes mācībās, izņemot pirmsskolas izglītības iestādēs)</w:t>
      </w:r>
      <w:r w:rsidR="007443E3" w:rsidRPr="007123AA">
        <w:rPr>
          <w:rFonts w:ascii="Times New Roman" w:hAnsi="Times New Roman" w:cs="Times New Roman"/>
          <w:sz w:val="24"/>
          <w:szCs w:val="24"/>
        </w:rPr>
        <w:t xml:space="preserve">; </w:t>
      </w:r>
    </w:p>
    <w:p w14:paraId="35CEFF79" w14:textId="77777777" w:rsidR="007123AA" w:rsidRPr="007123AA" w:rsidRDefault="00261EBC"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sz w:val="24"/>
          <w:szCs w:val="24"/>
        </w:rPr>
        <w:t>Izglītības procesa diferenciācija, individualizācija un personalizācija (tiek izvērtēts vispārējās izglītības iestādēs un profesionālās vidējās izglītības iestādēs vispārizglītojošajos mācību priekšmetos klātienes mācībās, izņemot pirmsskolas izglītības iestādēs);</w:t>
      </w:r>
    </w:p>
    <w:p w14:paraId="347A103C" w14:textId="77777777" w:rsidR="007123AA" w:rsidRPr="007123AA" w:rsidRDefault="007443E3"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2E4E8CE0" w14:textId="77777777" w:rsidR="007123AA" w:rsidRPr="007123AA" w:rsidRDefault="007443E3"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cs="Times New Roman"/>
          <w:sz w:val="24"/>
          <w:szCs w:val="24"/>
        </w:rPr>
        <w:t>Mācību sasniegumu vērtēšanas kārtība;</w:t>
      </w:r>
    </w:p>
    <w:p w14:paraId="71EF9D25" w14:textId="77777777" w:rsidR="007123AA" w:rsidRPr="007123AA" w:rsidRDefault="007443E3"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cs="Times New Roman"/>
          <w:sz w:val="24"/>
          <w:szCs w:val="24"/>
        </w:rPr>
        <w:t>Izglītības iestādes individualizēta un/vai personalizēta atbalsta sniegšana izglītojamiem;</w:t>
      </w:r>
    </w:p>
    <w:p w14:paraId="3FBD0085" w14:textId="77777777" w:rsidR="007123AA" w:rsidRPr="007123AA" w:rsidRDefault="007443E3"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cs="Times New Roman"/>
          <w:sz w:val="24"/>
          <w:szCs w:val="24"/>
        </w:rPr>
        <w:t>Izglītības procesa īstenošana izglītības iestādēs, kuras īsteno tālmācības izglītības programmu (tiek izvērtēts vispārējās un profesionālās izglītības programmās, kuras tiek īstenotas tālmācības formā);</w:t>
      </w:r>
    </w:p>
    <w:p w14:paraId="73952919" w14:textId="565CC34B" w:rsidR="00172ECD" w:rsidRPr="007123AA" w:rsidRDefault="007443E3" w:rsidP="007123AA">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7123AA">
        <w:rPr>
          <w:rFonts w:ascii="Times New Roman" w:hAnsi="Times New Roman" w:cs="Times New Roman"/>
          <w:sz w:val="24"/>
          <w:szCs w:val="24"/>
        </w:rPr>
        <w:t>Izglītības iestādes darbība, nodrošinot izglītības ieguvi ģimenē (tiek izvērtēts tikai izglītības iestādēs, kurās ir izglītojamie, kuriem tiek nodrošināta izglītības ieguve ģimenē);</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363ED2">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363ED2">
        <w:tc>
          <w:tcPr>
            <w:tcW w:w="1556" w:type="dxa"/>
          </w:tcPr>
          <w:p w14:paraId="370F87F9" w14:textId="65057B40"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w:t>
            </w:r>
            <w:r>
              <w:rPr>
                <w:rFonts w:ascii="Times New Roman" w:eastAsia="Times New Roman" w:hAnsi="Times New Roman" w:cs="Times New Roman"/>
                <w:bCs/>
                <w:sz w:val="24"/>
                <w:szCs w:val="24"/>
                <w:lang w:eastAsia="lv-LV"/>
              </w:rPr>
              <w:lastRenderedPageBreak/>
              <w:t>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12278067" w14:textId="77777777" w:rsidTr="00363ED2">
        <w:tc>
          <w:tcPr>
            <w:tcW w:w="1556" w:type="dxa"/>
          </w:tcPr>
          <w:p w14:paraId="3D20AA4D" w14:textId="69AC7D6E"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93216E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vērotajās mācību stundās / nodarbībās).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tc>
        <w:tc>
          <w:tcPr>
            <w:tcW w:w="4025" w:type="dxa"/>
          </w:tcPr>
          <w:p w14:paraId="01A567F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1927CF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2BD020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daļēji efektīvi (30-49% vērotajās mācību stundās / nodarbībās).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w:t>
            </w:r>
            <w:r>
              <w:rPr>
                <w:rFonts w:ascii="Times New Roman" w:eastAsia="Times New Roman" w:hAnsi="Times New Roman" w:cs="Times New Roman"/>
                <w:bCs/>
                <w:sz w:val="24"/>
                <w:szCs w:val="24"/>
                <w:lang w:eastAsia="lv-LV"/>
              </w:rPr>
              <w:lastRenderedPageBreak/>
              <w:t xml:space="preserve">pilnveidojamu, labu un ļoti labu mācīšanos. </w:t>
            </w:r>
          </w:p>
          <w:p w14:paraId="6A747E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615E490" w14:textId="77777777" w:rsidTr="00363ED2">
        <w:tc>
          <w:tcPr>
            <w:tcW w:w="1556" w:type="dxa"/>
          </w:tcPr>
          <w:p w14:paraId="1075A419" w14:textId="6616CE63"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0C24FAC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Lielākajā daļā mācību stundu/nodarbību (76-90% vērotajās mācību stundās / nodarbībās)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pārsvarā ir izglītojamo centrēts un/vai izglītojamo vadīts.</w:t>
            </w:r>
          </w:p>
        </w:tc>
        <w:tc>
          <w:tcPr>
            <w:tcW w:w="4025" w:type="dxa"/>
          </w:tcPr>
          <w:p w14:paraId="01B621EE"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c>
          <w:tcPr>
            <w:tcW w:w="3982" w:type="dxa"/>
          </w:tcPr>
          <w:p w14:paraId="434055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Mazāk nekā pusē mācību stundu/nodarbību (30-49% vērotajās mācību stundās / nodarbībās)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697CE461" w14:textId="77777777" w:rsidTr="00363ED2">
        <w:tc>
          <w:tcPr>
            <w:tcW w:w="1556" w:type="dxa"/>
          </w:tcPr>
          <w:p w14:paraId="60EE3483" w14:textId="45A9E287"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w:t>
            </w:r>
            <w:r>
              <w:rPr>
                <w:rFonts w:ascii="Times New Roman" w:eastAsia="Times New Roman" w:hAnsi="Times New Roman" w:cs="Times New Roman"/>
                <w:bCs/>
                <w:sz w:val="24"/>
                <w:szCs w:val="24"/>
                <w:lang w:eastAsia="lv-LV"/>
              </w:rPr>
              <w:lastRenderedPageBreak/>
              <w:t>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w:t>
            </w:r>
            <w:r>
              <w:rPr>
                <w:rFonts w:ascii="Times New Roman" w:eastAsia="Times New Roman" w:hAnsi="Times New Roman" w:cs="Times New Roman"/>
                <w:bCs/>
                <w:sz w:val="24"/>
                <w:szCs w:val="24"/>
                <w:lang w:eastAsia="lv-LV"/>
              </w:rPr>
              <w:lastRenderedPageBreak/>
              <w:t>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w:t>
            </w:r>
            <w:r>
              <w:rPr>
                <w:rFonts w:ascii="Times New Roman" w:eastAsia="Times New Roman" w:hAnsi="Times New Roman" w:cs="Times New Roman"/>
                <w:bCs/>
                <w:sz w:val="24"/>
                <w:szCs w:val="24"/>
                <w:lang w:eastAsia="lv-LV"/>
              </w:rPr>
              <w:lastRenderedPageBreak/>
              <w:t>pārāk liels tiešsaistes nodarbību / mācību stundu saraksts u.tml.). Pedagogi sniedz vienveidīgu 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14:paraId="557651FF" w14:textId="77777777" w:rsidTr="00363ED2">
        <w:tc>
          <w:tcPr>
            <w:tcW w:w="1556" w:type="dxa"/>
          </w:tcPr>
          <w:p w14:paraId="141A7AEC" w14:textId="19875B60"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055B3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problēmsituācijas, kuras rodas saistībā ar mācību sasniegumu vērtēšanu.</w:t>
            </w:r>
          </w:p>
        </w:tc>
      </w:tr>
      <w:tr w:rsidR="007D72A9" w14:paraId="19EFA5BD" w14:textId="77777777" w:rsidTr="00363ED2">
        <w:tc>
          <w:tcPr>
            <w:tcW w:w="1556" w:type="dxa"/>
          </w:tcPr>
          <w:p w14:paraId="373485F2" w14:textId="57406427"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055B3A">
              <w:rPr>
                <w:rFonts w:ascii="Times New Roman" w:eastAsia="Times New Roman" w:hAnsi="Times New Roman" w:cs="Times New Roman"/>
                <w:bCs/>
                <w:sz w:val="24"/>
                <w:szCs w:val="24"/>
                <w:lang w:eastAsia="lv-LV"/>
              </w:rPr>
              <w:t>6</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w:t>
            </w:r>
            <w:r>
              <w:rPr>
                <w:rFonts w:ascii="Times New Roman" w:eastAsia="Times New Roman" w:hAnsi="Times New Roman" w:cs="Times New Roman"/>
                <w:bCs/>
                <w:sz w:val="24"/>
                <w:szCs w:val="24"/>
                <w:lang w:eastAsia="lv-LV"/>
              </w:rPr>
              <w:lastRenderedPageBreak/>
              <w:t xml:space="preserve">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sistēma, kā tiek diagnosticēts un sniegts individualizēts </w:t>
            </w:r>
            <w:r>
              <w:rPr>
                <w:rFonts w:ascii="Times New Roman" w:eastAsia="Times New Roman" w:hAnsi="Times New Roman" w:cs="Times New Roman"/>
                <w:bCs/>
                <w:sz w:val="24"/>
                <w:szCs w:val="24"/>
                <w:lang w:eastAsia="lv-LV"/>
              </w:rPr>
              <w:lastRenderedPageBreak/>
              <w:t>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tiek diagnosticēts un sniegts individualizēts un/vai </w:t>
            </w:r>
            <w:r>
              <w:rPr>
                <w:rFonts w:ascii="Times New Roman" w:eastAsia="Times New Roman" w:hAnsi="Times New Roman" w:cs="Times New Roman"/>
                <w:bCs/>
                <w:sz w:val="24"/>
                <w:szCs w:val="24"/>
                <w:lang w:eastAsia="lv-LV"/>
              </w:rPr>
              <w:lastRenderedPageBreak/>
              <w:t>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412FAB26" w14:textId="77777777" w:rsidTr="00363ED2">
        <w:tc>
          <w:tcPr>
            <w:tcW w:w="1556" w:type="dxa"/>
          </w:tcPr>
          <w:p w14:paraId="19B61329" w14:textId="5E728EBA"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123AA">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055B3A">
              <w:rPr>
                <w:rFonts w:ascii="Times New Roman" w:eastAsia="Times New Roman" w:hAnsi="Times New Roman" w:cs="Times New Roman"/>
                <w:bCs/>
                <w:sz w:val="24"/>
                <w:szCs w:val="24"/>
                <w:lang w:eastAsia="lv-LV"/>
              </w:rPr>
              <w:t>7</w:t>
            </w:r>
            <w:r w:rsidR="004D3441">
              <w:rPr>
                <w:rFonts w:ascii="Times New Roman" w:eastAsia="Times New Roman" w:hAnsi="Times New Roman" w:cs="Times New Roman"/>
                <w:bCs/>
                <w:sz w:val="24"/>
                <w:szCs w:val="24"/>
                <w:lang w:eastAsia="lv-LV"/>
              </w:rPr>
              <w:t>.</w:t>
            </w:r>
          </w:p>
        </w:tc>
        <w:tc>
          <w:tcPr>
            <w:tcW w:w="3959" w:type="dxa"/>
          </w:tcPr>
          <w:p w14:paraId="7909DB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regulējošo normatīvo aktu prasībām, tas ir mūsdienīgs un kvalitatīvs. Izglītojamie izglītības programmu un mācību saturu apgūst individuāli, izmantojot izglītības iestādes veidotus īpaši strukturētus mācību materiālus, tehniskos un elektroniskos saziņas līdzekļus. Tie lielākajai daļai izglītojamo (76-90%) nodrošina iespēju mācību saturu apgūt pilnvērtīgi. Izglītojamiem ir plašas </w:t>
            </w:r>
            <w:r>
              <w:rPr>
                <w:rFonts w:ascii="Times New Roman" w:eastAsia="Times New Roman" w:hAnsi="Times New Roman" w:cs="Times New Roman"/>
                <w:bCs/>
                <w:sz w:val="24"/>
                <w:szCs w:val="24"/>
                <w:lang w:eastAsia="lv-LV"/>
              </w:rPr>
              <w:lastRenderedPageBreak/>
              <w:t xml:space="preserve">iespējas izglītības procesā saņemt dažādas konsultācijas un cita veida nepieciešamo atbalstu. Izglītojamie lielākoties izprot tālmācības iezīmes, atzīst mācības par kvalitatīvām. </w:t>
            </w:r>
          </w:p>
        </w:tc>
        <w:tc>
          <w:tcPr>
            <w:tcW w:w="4025" w:type="dxa"/>
          </w:tcPr>
          <w:p w14:paraId="0A24217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un īstenots atbilstoši tālmācību regulējošo normatīvo aktu prasībām. Izglītojamie izglītības programmu un mācību saturu pamatā apgūst individuāli, izmantojot izglītības iestādes piedāvātus īpaši strukturētus mācību materiālus, tehniskos un elektroniskos saziņas līdzekļus. Izglītojamiem ir pieejamas konsultācijas un cita veida nepieciešamais atbalsts. Izglītojamie pamatā (50-75%) izprot tālmācības </w:t>
            </w:r>
            <w:r>
              <w:rPr>
                <w:rFonts w:ascii="Times New Roman" w:eastAsia="Times New Roman" w:hAnsi="Times New Roman" w:cs="Times New Roman"/>
                <w:bCs/>
                <w:sz w:val="24"/>
                <w:szCs w:val="24"/>
                <w:lang w:eastAsia="lv-LV"/>
              </w:rPr>
              <w:lastRenderedPageBreak/>
              <w:t>iezīmes, atzīst mācības par kvalitatīvām.</w:t>
            </w:r>
          </w:p>
        </w:tc>
        <w:tc>
          <w:tcPr>
            <w:tcW w:w="3982" w:type="dxa"/>
          </w:tcPr>
          <w:p w14:paraId="272493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jāpilnveido, lai tas pilnībā atbilstu tālmācību regulējošo normatīvo aktu prasībām. Izglītojamie izglītības programmu un mācību saturu apgūst individuāli, izmantojot izglītības iestādes piedāvātus īpaši strukturētus mācību materiālus, tehniskos un elektroniskos saziņas līdzekļus, kuri ne vienmēr ir pietiekami. Izglītojamiem ir pieejamas konsultācijas, bet tās ne vienmēr ir pietiekams. Izglītojamie pamatā (50-75%) izprot tālmācības </w:t>
            </w:r>
            <w:r>
              <w:rPr>
                <w:rFonts w:ascii="Times New Roman" w:eastAsia="Times New Roman" w:hAnsi="Times New Roman" w:cs="Times New Roman"/>
                <w:bCs/>
                <w:sz w:val="24"/>
                <w:szCs w:val="24"/>
                <w:lang w:eastAsia="lv-LV"/>
              </w:rPr>
              <w:lastRenderedPageBreak/>
              <w:t xml:space="preserve">iezīmes, atzīst mācības par viņiem atbilstošām. </w:t>
            </w:r>
          </w:p>
        </w:tc>
      </w:tr>
      <w:tr w:rsidR="007D72A9" w14:paraId="68A742DF" w14:textId="77777777" w:rsidTr="00363ED2">
        <w:tc>
          <w:tcPr>
            <w:tcW w:w="1556" w:type="dxa"/>
          </w:tcPr>
          <w:p w14:paraId="5CC59D4E" w14:textId="30B245FE"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123AA">
              <w:rPr>
                <w:rFonts w:ascii="Times New Roman" w:eastAsia="Times New Roman" w:hAnsi="Times New Roman" w:cs="Times New Roman"/>
                <w:bCs/>
                <w:sz w:val="24"/>
                <w:szCs w:val="24"/>
                <w:lang w:eastAsia="lv-LV"/>
              </w:rPr>
              <w:t>5</w:t>
            </w:r>
            <w:r w:rsidR="00C26251">
              <w:rPr>
                <w:rFonts w:ascii="Times New Roman" w:eastAsia="Times New Roman" w:hAnsi="Times New Roman" w:cs="Times New Roman"/>
                <w:bCs/>
                <w:sz w:val="24"/>
                <w:szCs w:val="24"/>
                <w:lang w:eastAsia="lv-LV"/>
              </w:rPr>
              <w:t>.</w:t>
            </w:r>
            <w:r w:rsidR="00055B3A">
              <w:rPr>
                <w:rFonts w:ascii="Times New Roman" w:eastAsia="Times New Roman" w:hAnsi="Times New Roman" w:cs="Times New Roman"/>
                <w:bCs/>
                <w:sz w:val="24"/>
                <w:szCs w:val="24"/>
                <w:lang w:eastAsia="lv-LV"/>
              </w:rPr>
              <w:t>8</w:t>
            </w:r>
            <w:r w:rsidR="00C26251">
              <w:rPr>
                <w:rFonts w:ascii="Times New Roman" w:eastAsia="Times New Roman" w:hAnsi="Times New Roman" w:cs="Times New Roman"/>
                <w:bCs/>
                <w:sz w:val="24"/>
                <w:szCs w:val="24"/>
                <w:lang w:eastAsia="lv-LV"/>
              </w:rPr>
              <w:t>.</w:t>
            </w:r>
          </w:p>
        </w:tc>
        <w:tc>
          <w:tcPr>
            <w:tcW w:w="3959" w:type="dxa"/>
          </w:tcPr>
          <w:p w14:paraId="2430A4A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un tas nav retāk kā vienu reizi mēnesī. Izglītojamo mācību sasniegumi apliecina šāda izglītības ieguves veida efektivitāti. Izglītības iestādē ir izveidota efektīva sistēma izglītības ieguvei ģimenē un pieejams metodiskais atbalsts vecākiem un/vai izglītojamiem.</w:t>
            </w:r>
          </w:p>
        </w:tc>
        <w:tc>
          <w:tcPr>
            <w:tcW w:w="4025" w:type="dxa"/>
          </w:tcPr>
          <w:p w14:paraId="7928B8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bet ne retāk kā reizi mēnesī. Izglītojamo mācību sasniegumi apliecina šāda izglītības ieguves veida efektivitāti. Pēc nepieciešamības izglītības iestāde var piedāvāt konsultācijas vecākiem un izglītojamiem.</w:t>
            </w:r>
          </w:p>
        </w:tc>
        <w:tc>
          <w:tcPr>
            <w:tcW w:w="3982" w:type="dxa"/>
          </w:tcPr>
          <w:p w14:paraId="2A49B4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izglītojamo zināšanu un prasmju novērtēšana tiek veikta vienu vai divas reizes mācību gada laikā. Izglītojamo mācību sasniegumi daļēji apliecina šāda izglītības ieguves veida efektivitāti. Izglītības iestāde nepietiekami meklē sadarbības iespējas vai nepietiekami sadarbojas ar ģimeni, lai šo situāciju risinātu.</w:t>
            </w:r>
          </w:p>
        </w:tc>
      </w:tr>
    </w:tbl>
    <w:p w14:paraId="2532AC24" w14:textId="77777777" w:rsidR="007D72A9" w:rsidRDefault="007D72A9"/>
    <w:p w14:paraId="2402A56A" w14:textId="538A8BED" w:rsidR="007D72A9" w:rsidRDefault="00B52EBE">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074A94" w:rsidRPr="005945F9">
        <w:rPr>
          <w:rFonts w:ascii="Times New Roman" w:eastAsia="Times New Roman" w:hAnsi="Times New Roman" w:cs="Times New Roman"/>
          <w:b/>
          <w:sz w:val="24"/>
          <w:szCs w:val="24"/>
          <w:lang w:eastAsia="lv-LV"/>
        </w:rPr>
        <w:t xml:space="preserve">.3. </w:t>
      </w:r>
      <w:r w:rsidR="007443E3" w:rsidRPr="005945F9">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42293664" w:rsidR="00F21B9C" w:rsidRDefault="00B52EBE"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3C92854C" w:rsidR="00703113" w:rsidRPr="00F21B9C" w:rsidRDefault="00B52EBE"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01B16967" w:rsidR="00703113" w:rsidRDefault="00B52EBE"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46DC7285" w:rsidR="00703113" w:rsidRDefault="00B52EBE"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4788BC12" w:rsidR="00703113" w:rsidRDefault="00B52EBE"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489CB800" w14:textId="1F7475A1" w:rsidR="00367F0C" w:rsidRDefault="00B52EBE" w:rsidP="00367F0C">
      <w:pPr>
        <w:spacing w:after="0" w:line="240" w:lineRule="auto"/>
        <w:ind w:left="1276" w:hanging="850"/>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18C8F811" w14:textId="681CA93C" w:rsidR="00B55898" w:rsidRPr="00367F0C" w:rsidRDefault="00B52EBE" w:rsidP="00367F0C">
      <w:pPr>
        <w:spacing w:after="0" w:line="240" w:lineRule="auto"/>
        <w:ind w:left="1276" w:hanging="850"/>
        <w:jc w:val="both"/>
        <w:outlineLvl w:val="0"/>
        <w:rPr>
          <w:rFonts w:ascii="Times New Roman" w:hAnsi="Times New Roman" w:cs="Times New Roman"/>
          <w:sz w:val="24"/>
          <w:szCs w:val="24"/>
        </w:rPr>
      </w:pPr>
      <w:r>
        <w:rPr>
          <w:rFonts w:ascii="Times New Roman" w:hAnsi="Times New Roman" w:cs="Times New Roman"/>
          <w:sz w:val="24"/>
          <w:szCs w:val="24"/>
        </w:rPr>
        <w:t>3</w:t>
      </w:r>
      <w:r w:rsidR="00367F0C">
        <w:rPr>
          <w:rFonts w:ascii="Times New Roman" w:hAnsi="Times New Roman" w:cs="Times New Roman"/>
          <w:sz w:val="24"/>
          <w:szCs w:val="24"/>
        </w:rPr>
        <w:t xml:space="preserve">.3.7.  </w:t>
      </w:r>
      <w:r w:rsidR="00367F0C" w:rsidRPr="00B220A3">
        <w:rPr>
          <w:rFonts w:ascii="Times New Roman" w:hAnsi="Times New Roman" w:cs="Times New Roman"/>
          <w:sz w:val="24"/>
          <w:szCs w:val="24"/>
        </w:rPr>
        <w:t>Izglītības iestādes darbība, īstenojot speciālās izglītības programmu (tiek izvērtēts izglītības iestādēs, kuras īsteno speciālās izglītības programmu);</w:t>
      </w:r>
    </w:p>
    <w:p w14:paraId="5B64C896" w14:textId="317D05C5" w:rsidR="00300BE8" w:rsidRDefault="00B52EBE"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 xml:space="preserve">.3.8.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114EB921" w14:textId="275DACFB" w:rsidR="00300BE8" w:rsidRDefault="00B52EBE"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 xml:space="preserve">.3.9. </w:t>
      </w:r>
      <w:r w:rsidR="0060621A">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piedāvāto padziļināto kursu skaits un to īstenošanas kvalitāte (tiek izvērtēts vispārējās izglītības iestādēs, kuras īsteno vidējās vispārējās izglītības programmas);</w:t>
      </w:r>
    </w:p>
    <w:p w14:paraId="792C1749" w14:textId="5A7BCE0E" w:rsidR="00300BE8" w:rsidRDefault="00B52EBE"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300BE8">
        <w:rPr>
          <w:rFonts w:ascii="Times New Roman" w:eastAsia="Times New Roman" w:hAnsi="Times New Roman" w:cs="Times New Roman"/>
          <w:bCs/>
          <w:sz w:val="24"/>
          <w:szCs w:val="24"/>
          <w:lang w:eastAsia="lv-LV"/>
        </w:rPr>
        <w:t>.3.1</w:t>
      </w:r>
      <w:r w:rsidR="00084722">
        <w:rPr>
          <w:rFonts w:ascii="Times New Roman" w:eastAsia="Times New Roman" w:hAnsi="Times New Roman" w:cs="Times New Roman"/>
          <w:bCs/>
          <w:sz w:val="24"/>
          <w:szCs w:val="24"/>
          <w:lang w:eastAsia="lv-LV"/>
        </w:rPr>
        <w:t>0</w:t>
      </w:r>
      <w:r w:rsidR="00300BE8">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īstenotās mazākumtautību izglītības programmas atbilstība normatīvajos aktos noteiktajām prasībām (tiek izvērtēts izglītības iestādēs, kuras īsteno mazākumtautību izglītības programmu);</w:t>
      </w:r>
    </w:p>
    <w:p w14:paraId="16208212" w14:textId="4CF750B5" w:rsidR="00300BE8" w:rsidRDefault="00B52EBE" w:rsidP="0088450C">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.3.1</w:t>
      </w:r>
      <w:r w:rsidR="00084722">
        <w:rPr>
          <w:rFonts w:ascii="Times New Roman" w:eastAsia="Times New Roman" w:hAnsi="Times New Roman" w:cs="Times New Roman"/>
          <w:bCs/>
          <w:sz w:val="24"/>
          <w:szCs w:val="24"/>
          <w:lang w:eastAsia="lv-LV"/>
        </w:rPr>
        <w:t>1</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ED9826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1538"/>
        <w:gridCol w:w="4098"/>
        <w:gridCol w:w="4090"/>
        <w:gridCol w:w="4320"/>
      </w:tblGrid>
      <w:tr w:rsidR="007D72A9" w14:paraId="3283C720" w14:textId="77777777" w:rsidTr="00CE794B">
        <w:tc>
          <w:tcPr>
            <w:tcW w:w="1538" w:type="dxa"/>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CE794B">
        <w:tc>
          <w:tcPr>
            <w:tcW w:w="1538" w:type="dxa"/>
          </w:tcPr>
          <w:p w14:paraId="047ADE56" w14:textId="74F8C28E" w:rsidR="007D72A9" w:rsidRDefault="0022603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rsidTr="00CE794B">
        <w:tc>
          <w:tcPr>
            <w:tcW w:w="1538" w:type="dxa"/>
          </w:tcPr>
          <w:p w14:paraId="714121B4" w14:textId="48EFBCEC" w:rsidR="007D72A9" w:rsidRDefault="0022603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w:t>
            </w:r>
            <w:r>
              <w:rPr>
                <w:rFonts w:ascii="Times New Roman" w:hAnsi="Times New Roman" w:cs="Times New Roman"/>
                <w:sz w:val="24"/>
                <w:szCs w:val="24"/>
              </w:rPr>
              <w:lastRenderedPageBreak/>
              <w:t>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w:t>
            </w:r>
            <w:r>
              <w:rPr>
                <w:rFonts w:ascii="Times New Roman" w:eastAsia="Calibri" w:hAnsi="Times New Roman" w:cs="Times New Roman"/>
                <w:sz w:val="24"/>
                <w:szCs w:val="24"/>
              </w:rPr>
              <w:lastRenderedPageBreak/>
              <w:t>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w:t>
            </w:r>
            <w:r>
              <w:rPr>
                <w:rFonts w:ascii="Times New Roman" w:hAnsi="Times New Roman" w:cs="Times New Roman"/>
                <w:sz w:val="24"/>
                <w:szCs w:val="24"/>
              </w:rPr>
              <w:lastRenderedPageBreak/>
              <w:t>programmas īstenošanu, tajā ir nepieciešami turpmāki uzlabojumi vai arī izglītības programmas īstenošanu nepieciešams pārtraukt.</w:t>
            </w:r>
          </w:p>
        </w:tc>
      </w:tr>
      <w:tr w:rsidR="007D72A9" w14:paraId="15AE533C" w14:textId="77777777" w:rsidTr="00CE794B">
        <w:tc>
          <w:tcPr>
            <w:tcW w:w="1538" w:type="dxa"/>
          </w:tcPr>
          <w:p w14:paraId="036B91A8" w14:textId="2C91F0A6" w:rsidR="007D72A9" w:rsidRDefault="0022603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rsidTr="00CE794B">
        <w:tc>
          <w:tcPr>
            <w:tcW w:w="1538" w:type="dxa"/>
          </w:tcPr>
          <w:p w14:paraId="5BBBE3A9" w14:textId="4BE03B20"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w:t>
            </w:r>
            <w:r>
              <w:rPr>
                <w:rFonts w:ascii="Times New Roman" w:eastAsia="Times New Roman" w:hAnsi="Times New Roman" w:cs="Times New Roman"/>
                <w:bCs/>
                <w:sz w:val="24"/>
                <w:szCs w:val="24"/>
                <w:lang w:eastAsia="lv-LV"/>
              </w:rPr>
              <w:lastRenderedPageBreak/>
              <w:t>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w:t>
            </w:r>
            <w:r>
              <w:rPr>
                <w:rFonts w:ascii="Times New Roman" w:eastAsia="Times New Roman" w:hAnsi="Times New Roman" w:cs="Times New Roman"/>
                <w:bCs/>
                <w:sz w:val="24"/>
                <w:szCs w:val="24"/>
                <w:lang w:eastAsia="lv-LV"/>
              </w:rPr>
              <w:lastRenderedPageBreak/>
              <w:t>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w:t>
            </w:r>
            <w:r>
              <w:rPr>
                <w:rFonts w:ascii="Times New Roman" w:eastAsia="Times New Roman" w:hAnsi="Times New Roman" w:cs="Times New Roman"/>
                <w:bCs/>
                <w:sz w:val="24"/>
                <w:szCs w:val="24"/>
                <w:lang w:eastAsia="lv-LV"/>
              </w:rPr>
              <w:lastRenderedPageBreak/>
              <w:t>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rsidTr="00CE794B">
        <w:tc>
          <w:tcPr>
            <w:tcW w:w="1538" w:type="dxa"/>
          </w:tcPr>
          <w:p w14:paraId="7F624F96" w14:textId="3457D73F"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ārpusstundu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ārpusstundu pasākumiem ir pedagogiem un/vai administrācijai/vadībai.</w:t>
            </w:r>
          </w:p>
        </w:tc>
      </w:tr>
      <w:tr w:rsidR="007D72A9" w14:paraId="450F9F11" w14:textId="77777777" w:rsidTr="00CE794B">
        <w:tc>
          <w:tcPr>
            <w:tcW w:w="1538" w:type="dxa"/>
          </w:tcPr>
          <w:p w14:paraId="76990492" w14:textId="1B01F87D"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B55898">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w:t>
            </w:r>
            <w:r>
              <w:rPr>
                <w:rFonts w:ascii="Times New Roman" w:eastAsia="Times New Roman" w:hAnsi="Times New Roman" w:cs="Times New Roman"/>
                <w:bCs/>
                <w:sz w:val="24"/>
                <w:szCs w:val="24"/>
                <w:lang w:eastAsia="lv-LV"/>
              </w:rPr>
              <w:lastRenderedPageBreak/>
              <w:t>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w:t>
            </w:r>
            <w:r>
              <w:rPr>
                <w:rFonts w:ascii="Times New Roman" w:eastAsia="Times New Roman" w:hAnsi="Times New Roman" w:cs="Times New Roman"/>
                <w:bCs/>
                <w:sz w:val="24"/>
                <w:szCs w:val="24"/>
                <w:lang w:eastAsia="lv-LV"/>
              </w:rPr>
              <w:lastRenderedPageBreak/>
              <w:t>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w:t>
            </w:r>
            <w:r>
              <w:rPr>
                <w:rFonts w:ascii="Times New Roman" w:eastAsia="Times New Roman" w:hAnsi="Times New Roman" w:cs="Times New Roman"/>
                <w:bCs/>
                <w:sz w:val="24"/>
                <w:szCs w:val="24"/>
                <w:lang w:eastAsia="lv-LV"/>
              </w:rPr>
              <w:lastRenderedPageBreak/>
              <w:t>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3E5004" w14:paraId="78365B0C" w14:textId="77777777" w:rsidTr="00CE794B">
        <w:tc>
          <w:tcPr>
            <w:tcW w:w="1538" w:type="dxa"/>
          </w:tcPr>
          <w:p w14:paraId="033C7AD6" w14:textId="533DA55B" w:rsidR="003E5004" w:rsidRDefault="00B102A8" w:rsidP="003E500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3E5004">
              <w:rPr>
                <w:rFonts w:ascii="Times New Roman" w:eastAsia="Times New Roman" w:hAnsi="Times New Roman" w:cs="Times New Roman"/>
                <w:bCs/>
                <w:sz w:val="24"/>
                <w:szCs w:val="24"/>
                <w:lang w:eastAsia="lv-LV"/>
              </w:rPr>
              <w:t xml:space="preserve">.3.7. </w:t>
            </w:r>
          </w:p>
        </w:tc>
        <w:tc>
          <w:tcPr>
            <w:tcW w:w="4098" w:type="dxa"/>
          </w:tcPr>
          <w:p w14:paraId="42411E43" w14:textId="431E11A9" w:rsidR="003E5004" w:rsidRDefault="003E5004" w:rsidP="003E5004">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ievēro normatīvajos aktos noteiktās prasības speciālās izglītības programmas īstenošanā un piedāvā daudzpusīgas attīstības iespējas izglītojamiem, tai skaitā ir pieejams nepieciešamais atbalsta personāls, pedagogiem ir nodrošināta nepieciešamā kvalifikācija un profesionālās kompetences pilnveide, ir pieejams mērķtiecīgs metodiskais atbalsts, izglītojamam tiek izstrādāts un sekmīgi īstenots individuālais izglītības programmas apguves plāns,  kurš regulāri tiek izvērtēts, precizēts un aktualizēts. Izglītības programma tiek īstenota sadarbībā ar izglītojamā vecākiem. Pedagogi savu apkopoto pieredzi speciālās izglītības programmas īstenošanā piedāvā citām izglītības iestādēm.</w:t>
            </w:r>
          </w:p>
        </w:tc>
        <w:tc>
          <w:tcPr>
            <w:tcW w:w="4090" w:type="dxa"/>
          </w:tcPr>
          <w:p w14:paraId="5732C4DC" w14:textId="739852BD" w:rsidR="003E5004" w:rsidRDefault="003E5004" w:rsidP="003E5004">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Izglītības programma tiek īstenota sadarbībā ar izglītojamā vecākiem.</w:t>
            </w:r>
          </w:p>
        </w:tc>
        <w:tc>
          <w:tcPr>
            <w:tcW w:w="4320" w:type="dxa"/>
          </w:tcPr>
          <w:p w14:paraId="51B71891" w14:textId="35AB0E67" w:rsidR="003E5004" w:rsidRDefault="003E5004" w:rsidP="003E5004">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vienmēr tiek īstenots pilnā apmērā izglītības iestādes ierobežoto iespēju un/vai resursu dēļ. Izglītības programmas tiek īstenota sadarbībā ar izglītojamā vecākiem.</w:t>
            </w:r>
          </w:p>
        </w:tc>
      </w:tr>
      <w:tr w:rsidR="007D72A9" w14:paraId="7CFC9E6A" w14:textId="77777777" w:rsidTr="00CE794B">
        <w:tc>
          <w:tcPr>
            <w:tcW w:w="1538" w:type="dxa"/>
          </w:tcPr>
          <w:p w14:paraId="12EA634A" w14:textId="5DDAC64A"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w:t>
            </w:r>
            <w:r>
              <w:rPr>
                <w:rFonts w:ascii="Times New Roman" w:eastAsia="Times New Roman" w:hAnsi="Times New Roman" w:cs="Times New Roman"/>
                <w:bCs/>
                <w:sz w:val="24"/>
                <w:szCs w:val="24"/>
                <w:lang w:eastAsia="lv-LV"/>
              </w:rPr>
              <w:lastRenderedPageBreak/>
              <w:t>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w:t>
            </w:r>
            <w:r>
              <w:rPr>
                <w:rFonts w:ascii="Times New Roman" w:eastAsia="Times New Roman" w:hAnsi="Times New Roman" w:cs="Times New Roman"/>
                <w:bCs/>
                <w:sz w:val="24"/>
                <w:szCs w:val="24"/>
                <w:lang w:eastAsia="lv-LV"/>
              </w:rPr>
              <w:lastRenderedPageBreak/>
              <w:t>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w:t>
            </w:r>
            <w:r>
              <w:rPr>
                <w:rFonts w:ascii="Times New Roman" w:eastAsia="Times New Roman" w:hAnsi="Times New Roman" w:cs="Times New Roman"/>
                <w:bCs/>
                <w:sz w:val="24"/>
                <w:szCs w:val="24"/>
                <w:lang w:eastAsia="lv-LV"/>
              </w:rPr>
              <w:lastRenderedPageBreak/>
              <w:t>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231D7BF1" w14:textId="77777777" w:rsidTr="00CE794B">
        <w:tc>
          <w:tcPr>
            <w:tcW w:w="1538" w:type="dxa"/>
          </w:tcPr>
          <w:p w14:paraId="02563409" w14:textId="73F77CA1"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041CCC">
              <w:rPr>
                <w:rFonts w:ascii="Times New Roman" w:eastAsia="Times New Roman" w:hAnsi="Times New Roman" w:cs="Times New Roman"/>
                <w:bCs/>
                <w:sz w:val="24"/>
                <w:szCs w:val="24"/>
                <w:lang w:eastAsia="lv-LV"/>
              </w:rPr>
              <w:t>.</w:t>
            </w:r>
          </w:p>
        </w:tc>
        <w:tc>
          <w:tcPr>
            <w:tcW w:w="4098" w:type="dxa"/>
          </w:tcPr>
          <w:p w14:paraId="4016E38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vidējās vispārējās izglītības programmā piedāvā vismaz četrus padziļinātos kursus, no kuriem: (i) īsteno vismaz trīs padziļinātos kursus, (ii) viens no padziļinātajiem kursiem ir STEM jomā. Iestāde ir specializējusies vienas mācību jomas padziļinātā didaktiskā un metodiskā pilnveidē, ko apliecina tās veiktais metodiskais darbs, 60% izglītojamo augsti mācību sasniegumi ikdienas mācībās (7 balles un vairāk padziļinātajos kursos), darbs ar talantīgajiem izglītojamiem, karjeras izglītība, sadarbība ar augstākās izglītības iestādēm (piemēram, sadarbības līgums par izglītības programmas īstenošanu u.tml.).</w:t>
            </w:r>
          </w:p>
        </w:tc>
        <w:tc>
          <w:tcPr>
            <w:tcW w:w="4090" w:type="dxa"/>
          </w:tcPr>
          <w:p w14:paraId="4924B7D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vidējās vispārējās izglītības programmā piedāvā vismaz četrus padziļinātos kursus, no kuriem īsteno vismaz divus padziļinātos kursus. Iestādes īstenotajos padziļinātajos kursos 50% un vairāk izglītojamiem ir vidēji augsti (6 balles un vairāk) ikdienas mācību sasniegumi, darbs ar talantīgajiem izglītojamiem, karjeras izglītība, sadarbība ar augstākās izglītības iestādēm (piemēram, sadarbības līgums par izglītības programmas īstenošanu u.tml.).</w:t>
            </w:r>
          </w:p>
        </w:tc>
        <w:tc>
          <w:tcPr>
            <w:tcW w:w="4320" w:type="dxa"/>
          </w:tcPr>
          <w:p w14:paraId="20ACE01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vidējās vispārējās izglītības programmā piedāvā vismaz četrus padziļinātos kursus, no kuriem īsteno vismaz divus padziļinātos kursus. Iestādes īstenotajos padziļinātājos kursos 50% un vairāk izglītojamiem ir vidēji augsti (5 balles un vairāk) ikdienas mācību sasniegumi, darbs ar talantīgajiem izglītojamiem, karjeras izglītība, sadarbība ar augstākās izglītības iestādēm (piemēram, sadarbības līgums par izglītības programmas īstenošanu u.tml.).</w:t>
            </w:r>
          </w:p>
        </w:tc>
      </w:tr>
      <w:tr w:rsidR="007D72A9" w14:paraId="752BBC41" w14:textId="77777777" w:rsidTr="00CE794B">
        <w:tc>
          <w:tcPr>
            <w:tcW w:w="1538" w:type="dxa"/>
          </w:tcPr>
          <w:p w14:paraId="636815A8" w14:textId="3FE4AF35"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8E2BC9">
              <w:rPr>
                <w:rFonts w:ascii="Times New Roman" w:eastAsia="Times New Roman" w:hAnsi="Times New Roman" w:cs="Times New Roman"/>
                <w:bCs/>
                <w:sz w:val="24"/>
                <w:szCs w:val="24"/>
                <w:lang w:eastAsia="lv-LV"/>
              </w:rPr>
              <w:t>0</w:t>
            </w:r>
            <w:r w:rsidR="00041CCC">
              <w:rPr>
                <w:rFonts w:ascii="Times New Roman" w:eastAsia="Times New Roman" w:hAnsi="Times New Roman" w:cs="Times New Roman"/>
                <w:bCs/>
                <w:sz w:val="24"/>
                <w:szCs w:val="24"/>
                <w:lang w:eastAsia="lv-LV"/>
              </w:rPr>
              <w:t>.</w:t>
            </w:r>
          </w:p>
        </w:tc>
        <w:tc>
          <w:tcPr>
            <w:tcW w:w="4098" w:type="dxa"/>
          </w:tcPr>
          <w:p w14:paraId="2B13B90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w:t>
            </w:r>
            <w:r>
              <w:rPr>
                <w:rFonts w:ascii="Times New Roman" w:eastAsia="Times New Roman" w:hAnsi="Times New Roman" w:cs="Times New Roman"/>
                <w:bCs/>
                <w:sz w:val="24"/>
                <w:szCs w:val="24"/>
                <w:lang w:eastAsia="lv-LV"/>
              </w:rPr>
              <w:lastRenderedPageBreak/>
              <w:t xml:space="preserve">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 kā arī tās pedagogi regulāri izstrādā mācību līdzekļus (piemēram, mācību grāmatas), kuri tiek apstiprināti valstī noteiktajā kārtībā kā ieteicamā literatūra mazākumtautību izglītības programmā.</w:t>
            </w:r>
          </w:p>
        </w:tc>
        <w:tc>
          <w:tcPr>
            <w:tcW w:w="4090" w:type="dxa"/>
          </w:tcPr>
          <w:p w14:paraId="2EAE2A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 mazākumtautību izglītības programmā tiek ievērota normatīvajos aktos noteiktā </w:t>
            </w:r>
            <w:r>
              <w:rPr>
                <w:rFonts w:ascii="Times New Roman" w:eastAsia="Times New Roman" w:hAnsi="Times New Roman" w:cs="Times New Roman"/>
                <w:bCs/>
                <w:sz w:val="24"/>
                <w:szCs w:val="24"/>
                <w:lang w:eastAsia="lv-LV"/>
              </w:rPr>
              <w:lastRenderedPageBreak/>
              <w:t xml:space="preserve">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w:t>
            </w:r>
          </w:p>
        </w:tc>
        <w:tc>
          <w:tcPr>
            <w:tcW w:w="4320" w:type="dxa"/>
          </w:tcPr>
          <w:p w14:paraId="6A90B6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 mazākumtautību izglītības programmā lielākoties (90 – 99%) tiek ievērota </w:t>
            </w:r>
            <w:r>
              <w:rPr>
                <w:rFonts w:ascii="Times New Roman" w:eastAsia="Times New Roman" w:hAnsi="Times New Roman" w:cs="Times New Roman"/>
                <w:bCs/>
                <w:sz w:val="24"/>
                <w:szCs w:val="24"/>
                <w:lang w:eastAsia="lv-LV"/>
              </w:rPr>
              <w:lastRenderedPageBreak/>
              <w:t xml:space="preserve">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w:t>
            </w:r>
          </w:p>
          <w:p w14:paraId="4CC67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izmanto mācību līdzekļus, kuri atbilst normatīvajos aktos noteiktajām prasībām un dod iespēju ievērot noteikto valodu proporciju.</w:t>
            </w:r>
          </w:p>
        </w:tc>
      </w:tr>
      <w:tr w:rsidR="007D72A9" w14:paraId="3E22EDA2" w14:textId="77777777" w:rsidTr="00CE794B">
        <w:tc>
          <w:tcPr>
            <w:tcW w:w="1538" w:type="dxa"/>
          </w:tcPr>
          <w:p w14:paraId="29E1FC08" w14:textId="16F3E23E" w:rsidR="007D72A9" w:rsidRDefault="00B102A8">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8E2BC9">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w:t>
            </w:r>
            <w:r>
              <w:rPr>
                <w:rFonts w:ascii="Times New Roman" w:eastAsia="Times New Roman" w:hAnsi="Times New Roman" w:cs="Times New Roman"/>
                <w:bCs/>
                <w:sz w:val="24"/>
                <w:szCs w:val="24"/>
                <w:lang w:eastAsia="lv-LV"/>
              </w:rPr>
              <w:lastRenderedPageBreak/>
              <w:t>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w:t>
            </w:r>
            <w:r>
              <w:rPr>
                <w:rFonts w:ascii="Times New Roman" w:eastAsia="Times New Roman" w:hAnsi="Times New Roman" w:cs="Times New Roman"/>
                <w:bCs/>
                <w:sz w:val="24"/>
                <w:szCs w:val="24"/>
                <w:lang w:eastAsia="lv-LV"/>
              </w:rPr>
              <w:lastRenderedPageBreak/>
              <w:t xml:space="preserve">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w:t>
            </w:r>
            <w:r>
              <w:rPr>
                <w:rFonts w:ascii="Times New Roman" w:eastAsia="Times New Roman" w:hAnsi="Times New Roman" w:cs="Times New Roman"/>
                <w:bCs/>
                <w:sz w:val="24"/>
                <w:szCs w:val="24"/>
                <w:lang w:eastAsia="lv-LV"/>
              </w:rPr>
              <w:lastRenderedPageBreak/>
              <w:t xml:space="preserve">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bl>
    <w:p w14:paraId="6EA89F40" w14:textId="6CD86923" w:rsidR="007D72A9" w:rsidRDefault="007D72A9" w:rsidP="00556BF4">
      <w:pPr>
        <w:spacing w:after="0" w:line="240" w:lineRule="auto"/>
        <w:outlineLvl w:val="0"/>
        <w:rPr>
          <w:rFonts w:ascii="Times New Roman" w:eastAsia="Times New Roman" w:hAnsi="Times New Roman" w:cs="Times New Roman"/>
          <w:bCs/>
          <w:sz w:val="32"/>
          <w:szCs w:val="32"/>
          <w:lang w:eastAsia="lv-LV"/>
        </w:rPr>
      </w:pPr>
    </w:p>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3F28" w14:textId="77777777" w:rsidR="00C248C5" w:rsidRDefault="00C248C5">
      <w:pPr>
        <w:spacing w:after="0" w:line="240" w:lineRule="auto"/>
      </w:pPr>
      <w:r>
        <w:separator/>
      </w:r>
    </w:p>
  </w:endnote>
  <w:endnote w:type="continuationSeparator" w:id="0">
    <w:p w14:paraId="4B19C64B" w14:textId="77777777" w:rsidR="00C248C5" w:rsidRDefault="00C2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170A" w14:textId="06A65ABF" w:rsidR="001C3128" w:rsidRPr="003C3DB2" w:rsidRDefault="003C3DB2">
    <w:pPr>
      <w:pStyle w:val="Kjene"/>
      <w:rPr>
        <w:rFonts w:ascii="Times New Roman" w:hAnsi="Times New Roman" w:cs="Times New Roman"/>
        <w:i/>
        <w:iCs/>
        <w:sz w:val="20"/>
        <w:szCs w:val="20"/>
      </w:rPr>
    </w:pPr>
    <w:r w:rsidRPr="003C3DB2">
      <w:rPr>
        <w:rFonts w:ascii="Times New Roman" w:hAnsi="Times New Roman" w:cs="Times New Roman"/>
        <w:i/>
        <w:iCs/>
        <w:sz w:val="20"/>
        <w:szCs w:val="20"/>
      </w:rPr>
      <w:t>*</w:t>
    </w:r>
    <w:r w:rsidR="001C3128" w:rsidRPr="003C3DB2">
      <w:rPr>
        <w:rFonts w:ascii="Times New Roman" w:hAnsi="Times New Roman" w:cs="Times New Roman"/>
        <w:i/>
        <w:iCs/>
        <w:sz w:val="20"/>
        <w:szCs w:val="20"/>
      </w:rPr>
      <w:t>Izglītības kvalitātes vērtējuma līmeņu apraksts paredzēts vispārējās pamat</w:t>
    </w:r>
    <w:r w:rsidRPr="003C3DB2">
      <w:rPr>
        <w:rFonts w:ascii="Times New Roman" w:hAnsi="Times New Roman" w:cs="Times New Roman"/>
        <w:i/>
        <w:iCs/>
        <w:sz w:val="20"/>
        <w:szCs w:val="20"/>
      </w:rPr>
      <w:t>izglītības</w:t>
    </w:r>
    <w:r w:rsidR="001C3128" w:rsidRPr="003C3DB2">
      <w:rPr>
        <w:rFonts w:ascii="Times New Roman" w:hAnsi="Times New Roman" w:cs="Times New Roman"/>
        <w:i/>
        <w:iCs/>
        <w:sz w:val="20"/>
        <w:szCs w:val="20"/>
      </w:rPr>
      <w:t xml:space="preserve"> un vispārējās vidējās izglītības iestādēm</w:t>
    </w:r>
  </w:p>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63CC" w14:textId="77777777" w:rsidR="00C248C5" w:rsidRDefault="00C248C5">
      <w:pPr>
        <w:rPr>
          <w:sz w:val="12"/>
        </w:rPr>
      </w:pPr>
      <w:r>
        <w:separator/>
      </w:r>
    </w:p>
  </w:footnote>
  <w:footnote w:type="continuationSeparator" w:id="0">
    <w:p w14:paraId="0FC2195F" w14:textId="77777777" w:rsidR="00C248C5" w:rsidRDefault="00C248C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F56331F"/>
    <w:multiLevelType w:val="multilevel"/>
    <w:tmpl w:val="E51C100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9"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2F68E4"/>
    <w:multiLevelType w:val="multilevel"/>
    <w:tmpl w:val="9566083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3"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4"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6"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9"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20"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3"/>
  </w:num>
  <w:num w:numId="2" w16cid:durableId="775246020">
    <w:abstractNumId w:val="16"/>
  </w:num>
  <w:num w:numId="3" w16cid:durableId="172495531">
    <w:abstractNumId w:val="13"/>
  </w:num>
  <w:num w:numId="4" w16cid:durableId="1617445893">
    <w:abstractNumId w:val="10"/>
  </w:num>
  <w:num w:numId="5" w16cid:durableId="1481461515">
    <w:abstractNumId w:val="8"/>
  </w:num>
  <w:num w:numId="6" w16cid:durableId="1813979578">
    <w:abstractNumId w:val="21"/>
  </w:num>
  <w:num w:numId="7" w16cid:durableId="935556274">
    <w:abstractNumId w:val="7"/>
  </w:num>
  <w:num w:numId="8" w16cid:durableId="700396491">
    <w:abstractNumId w:val="22"/>
  </w:num>
  <w:num w:numId="9" w16cid:durableId="83845683">
    <w:abstractNumId w:val="14"/>
  </w:num>
  <w:num w:numId="10" w16cid:durableId="1315179578">
    <w:abstractNumId w:val="0"/>
  </w:num>
  <w:num w:numId="11" w16cid:durableId="1815901577">
    <w:abstractNumId w:val="1"/>
  </w:num>
  <w:num w:numId="12" w16cid:durableId="50856406">
    <w:abstractNumId w:val="15"/>
  </w:num>
  <w:num w:numId="13" w16cid:durableId="2054621569">
    <w:abstractNumId w:val="18"/>
  </w:num>
  <w:num w:numId="14" w16cid:durableId="1407533778">
    <w:abstractNumId w:val="9"/>
  </w:num>
  <w:num w:numId="15" w16cid:durableId="929891448">
    <w:abstractNumId w:val="12"/>
  </w:num>
  <w:num w:numId="16" w16cid:durableId="339629226">
    <w:abstractNumId w:val="17"/>
  </w:num>
  <w:num w:numId="17" w16cid:durableId="513111158">
    <w:abstractNumId w:val="2"/>
  </w:num>
  <w:num w:numId="18" w16cid:durableId="1453474163">
    <w:abstractNumId w:val="19"/>
  </w:num>
  <w:num w:numId="19" w16cid:durableId="859855028">
    <w:abstractNumId w:val="20"/>
  </w:num>
  <w:num w:numId="20" w16cid:durableId="1030882312">
    <w:abstractNumId w:val="5"/>
  </w:num>
  <w:num w:numId="21" w16cid:durableId="1323387223">
    <w:abstractNumId w:val="4"/>
  </w:num>
  <w:num w:numId="22" w16cid:durableId="1852259626">
    <w:abstractNumId w:val="6"/>
  </w:num>
  <w:num w:numId="23" w16cid:durableId="1834176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443F0"/>
    <w:rsid w:val="00055B3A"/>
    <w:rsid w:val="00067308"/>
    <w:rsid w:val="00074A94"/>
    <w:rsid w:val="00084722"/>
    <w:rsid w:val="000A1F29"/>
    <w:rsid w:val="000A2E61"/>
    <w:rsid w:val="000A4630"/>
    <w:rsid w:val="000E734C"/>
    <w:rsid w:val="000F1414"/>
    <w:rsid w:val="0010716C"/>
    <w:rsid w:val="00132E1A"/>
    <w:rsid w:val="00134690"/>
    <w:rsid w:val="00172ECD"/>
    <w:rsid w:val="001736B7"/>
    <w:rsid w:val="001763E6"/>
    <w:rsid w:val="00176DDD"/>
    <w:rsid w:val="0018038D"/>
    <w:rsid w:val="001C3128"/>
    <w:rsid w:val="001C7466"/>
    <w:rsid w:val="001D2C62"/>
    <w:rsid w:val="001E7332"/>
    <w:rsid w:val="001F0819"/>
    <w:rsid w:val="00207316"/>
    <w:rsid w:val="00226035"/>
    <w:rsid w:val="00261EBC"/>
    <w:rsid w:val="00273CB1"/>
    <w:rsid w:val="002821EB"/>
    <w:rsid w:val="00292CB1"/>
    <w:rsid w:val="002A25AC"/>
    <w:rsid w:val="002A4436"/>
    <w:rsid w:val="002B0502"/>
    <w:rsid w:val="002B452A"/>
    <w:rsid w:val="002C2B7E"/>
    <w:rsid w:val="00300BE8"/>
    <w:rsid w:val="003102DA"/>
    <w:rsid w:val="003115BA"/>
    <w:rsid w:val="00311E0F"/>
    <w:rsid w:val="003312F8"/>
    <w:rsid w:val="003465DF"/>
    <w:rsid w:val="00352663"/>
    <w:rsid w:val="0036304F"/>
    <w:rsid w:val="00363ED2"/>
    <w:rsid w:val="00367F0C"/>
    <w:rsid w:val="0037417E"/>
    <w:rsid w:val="003B04EF"/>
    <w:rsid w:val="003B3326"/>
    <w:rsid w:val="003C25F4"/>
    <w:rsid w:val="003C2BC8"/>
    <w:rsid w:val="003C3DB2"/>
    <w:rsid w:val="003E5004"/>
    <w:rsid w:val="003F260D"/>
    <w:rsid w:val="003F3914"/>
    <w:rsid w:val="00417013"/>
    <w:rsid w:val="004532B2"/>
    <w:rsid w:val="00470FFB"/>
    <w:rsid w:val="0048278A"/>
    <w:rsid w:val="00493EA3"/>
    <w:rsid w:val="004970FB"/>
    <w:rsid w:val="004B1F99"/>
    <w:rsid w:val="004D3441"/>
    <w:rsid w:val="004E4B37"/>
    <w:rsid w:val="004F6462"/>
    <w:rsid w:val="00503910"/>
    <w:rsid w:val="0051560D"/>
    <w:rsid w:val="00534542"/>
    <w:rsid w:val="00541DD4"/>
    <w:rsid w:val="00556BF4"/>
    <w:rsid w:val="00563D69"/>
    <w:rsid w:val="005945F9"/>
    <w:rsid w:val="005B4C56"/>
    <w:rsid w:val="005C22C1"/>
    <w:rsid w:val="005D48AE"/>
    <w:rsid w:val="005E422E"/>
    <w:rsid w:val="005F2A6F"/>
    <w:rsid w:val="00602761"/>
    <w:rsid w:val="0060621A"/>
    <w:rsid w:val="00614285"/>
    <w:rsid w:val="00614A19"/>
    <w:rsid w:val="00616BA6"/>
    <w:rsid w:val="0063448E"/>
    <w:rsid w:val="00653341"/>
    <w:rsid w:val="0066772B"/>
    <w:rsid w:val="0068699F"/>
    <w:rsid w:val="006940D1"/>
    <w:rsid w:val="00696DCE"/>
    <w:rsid w:val="006C546B"/>
    <w:rsid w:val="006F5AE2"/>
    <w:rsid w:val="00703113"/>
    <w:rsid w:val="007123AA"/>
    <w:rsid w:val="00713BB6"/>
    <w:rsid w:val="00715BF0"/>
    <w:rsid w:val="00732316"/>
    <w:rsid w:val="00732442"/>
    <w:rsid w:val="007443E3"/>
    <w:rsid w:val="007540BB"/>
    <w:rsid w:val="00771F81"/>
    <w:rsid w:val="00796940"/>
    <w:rsid w:val="00796C1B"/>
    <w:rsid w:val="007A0A0C"/>
    <w:rsid w:val="007D72A9"/>
    <w:rsid w:val="007F2D1C"/>
    <w:rsid w:val="007F5DD3"/>
    <w:rsid w:val="00851279"/>
    <w:rsid w:val="0088450C"/>
    <w:rsid w:val="008954AC"/>
    <w:rsid w:val="008A1660"/>
    <w:rsid w:val="008A491F"/>
    <w:rsid w:val="008A5047"/>
    <w:rsid w:val="008D0A77"/>
    <w:rsid w:val="008D61B9"/>
    <w:rsid w:val="008D61E0"/>
    <w:rsid w:val="008E1F4B"/>
    <w:rsid w:val="008E2BC9"/>
    <w:rsid w:val="009010DA"/>
    <w:rsid w:val="00917139"/>
    <w:rsid w:val="00931A16"/>
    <w:rsid w:val="00961446"/>
    <w:rsid w:val="00975B66"/>
    <w:rsid w:val="00976CAA"/>
    <w:rsid w:val="00993CC0"/>
    <w:rsid w:val="009A06EC"/>
    <w:rsid w:val="009A5514"/>
    <w:rsid w:val="009D2D79"/>
    <w:rsid w:val="00A02C3C"/>
    <w:rsid w:val="00A2186F"/>
    <w:rsid w:val="00A3639D"/>
    <w:rsid w:val="00A93073"/>
    <w:rsid w:val="00AB32F4"/>
    <w:rsid w:val="00AB5320"/>
    <w:rsid w:val="00AE5C66"/>
    <w:rsid w:val="00AF3316"/>
    <w:rsid w:val="00AF4C33"/>
    <w:rsid w:val="00B0678B"/>
    <w:rsid w:val="00B102A8"/>
    <w:rsid w:val="00B11196"/>
    <w:rsid w:val="00B163DB"/>
    <w:rsid w:val="00B52EBE"/>
    <w:rsid w:val="00B55898"/>
    <w:rsid w:val="00B613C0"/>
    <w:rsid w:val="00B76195"/>
    <w:rsid w:val="00B9203C"/>
    <w:rsid w:val="00BB183F"/>
    <w:rsid w:val="00BB7BEF"/>
    <w:rsid w:val="00C15F7A"/>
    <w:rsid w:val="00C230E9"/>
    <w:rsid w:val="00C23C75"/>
    <w:rsid w:val="00C248C5"/>
    <w:rsid w:val="00C26251"/>
    <w:rsid w:val="00C31D9B"/>
    <w:rsid w:val="00C43263"/>
    <w:rsid w:val="00C66ABD"/>
    <w:rsid w:val="00CA1257"/>
    <w:rsid w:val="00CB544E"/>
    <w:rsid w:val="00CB6025"/>
    <w:rsid w:val="00CE794B"/>
    <w:rsid w:val="00D3276F"/>
    <w:rsid w:val="00D33394"/>
    <w:rsid w:val="00D35F0E"/>
    <w:rsid w:val="00D373E8"/>
    <w:rsid w:val="00D87922"/>
    <w:rsid w:val="00D87956"/>
    <w:rsid w:val="00D921DA"/>
    <w:rsid w:val="00D96B1C"/>
    <w:rsid w:val="00DC1011"/>
    <w:rsid w:val="00DC179F"/>
    <w:rsid w:val="00DC3056"/>
    <w:rsid w:val="00DE1072"/>
    <w:rsid w:val="00E004D5"/>
    <w:rsid w:val="00E03E38"/>
    <w:rsid w:val="00E15FEC"/>
    <w:rsid w:val="00E162D0"/>
    <w:rsid w:val="00E21265"/>
    <w:rsid w:val="00E3416A"/>
    <w:rsid w:val="00E624CE"/>
    <w:rsid w:val="00E6256D"/>
    <w:rsid w:val="00E70471"/>
    <w:rsid w:val="00EA1E10"/>
    <w:rsid w:val="00EC1ACC"/>
    <w:rsid w:val="00F022D2"/>
    <w:rsid w:val="00F21B9C"/>
    <w:rsid w:val="00F419A7"/>
    <w:rsid w:val="00F431B1"/>
    <w:rsid w:val="00F437BB"/>
    <w:rsid w:val="00F72792"/>
    <w:rsid w:val="00F91D06"/>
    <w:rsid w:val="00F92724"/>
    <w:rsid w:val="00F92B7B"/>
    <w:rsid w:val="00F95936"/>
    <w:rsid w:val="00F96C7D"/>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97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7725</Words>
  <Characters>44034</Characters>
  <Application>Microsoft Office Word</Application>
  <DocSecurity>0</DocSecurity>
  <Lines>366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2022-10-20T14:44:00Z</dcterms:created>
  <dcterms:modified xsi:type="dcterms:W3CDTF">2022-10-20T14:44:00Z</dcterms:modified>
  <dc:language>lv-LV</dc:language>
</cp:coreProperties>
</file>