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14FD" w14:textId="77777777" w:rsidR="00967D89" w:rsidRDefault="00967D89" w:rsidP="00967D89">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 xml:space="preserve">Izglītības kvalitātes vērtējuma līmeņu apraksti </w:t>
      </w:r>
      <w:proofErr w:type="spellStart"/>
      <w:r>
        <w:rPr>
          <w:rFonts w:ascii="Times New Roman" w:eastAsia="Times New Roman" w:hAnsi="Times New Roman" w:cs="Times New Roman"/>
          <w:b/>
          <w:sz w:val="32"/>
          <w:szCs w:val="32"/>
          <w:lang w:eastAsia="lv-LV"/>
        </w:rPr>
        <w:t>pašvērtēšanai</w:t>
      </w:r>
      <w:proofErr w:type="spellEnd"/>
      <w:r>
        <w:rPr>
          <w:rFonts w:ascii="Times New Roman" w:eastAsia="Times New Roman" w:hAnsi="Times New Roman" w:cs="Times New Roman"/>
          <w:b/>
          <w:sz w:val="32"/>
          <w:szCs w:val="32"/>
          <w:lang w:eastAsia="lv-LV"/>
        </w:rPr>
        <w:t xml:space="preserve"> </w:t>
      </w:r>
    </w:p>
    <w:p w14:paraId="2E17FC10" w14:textId="7BC22615" w:rsidR="00967D89" w:rsidRDefault="00C31F95" w:rsidP="00967D89">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p</w:t>
      </w:r>
      <w:r w:rsidR="00967D89">
        <w:rPr>
          <w:rFonts w:ascii="Times New Roman" w:eastAsia="Times New Roman" w:hAnsi="Times New Roman" w:cs="Times New Roman"/>
          <w:b/>
          <w:sz w:val="32"/>
          <w:szCs w:val="32"/>
          <w:lang w:eastAsia="lv-LV"/>
        </w:rPr>
        <w:t>rofesionālās tālākizglītības iestādēm (mācību centriem) 2022./2023.māc.g.</w:t>
      </w:r>
      <w:r w:rsidR="00A22719">
        <w:rPr>
          <w:rFonts w:ascii="Times New Roman" w:eastAsia="Times New Roman" w:hAnsi="Times New Roman" w:cs="Times New Roman"/>
          <w:b/>
          <w:sz w:val="32"/>
          <w:szCs w:val="32"/>
          <w:lang w:eastAsia="lv-LV"/>
        </w:rPr>
        <w:t>*</w:t>
      </w:r>
    </w:p>
    <w:p w14:paraId="07669098" w14:textId="1616A071" w:rsidR="00967D89" w:rsidRDefault="00967D89" w:rsidP="002E665E">
      <w:pPr>
        <w:spacing w:after="0" w:line="240" w:lineRule="auto"/>
        <w:ind w:left="720" w:hanging="360"/>
        <w:jc w:val="center"/>
        <w:outlineLvl w:val="0"/>
      </w:pPr>
    </w:p>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0BCF8AC" w14:textId="2362622F" w:rsidR="007D72A9" w:rsidRDefault="00B11196">
      <w:pPr>
        <w:spacing w:after="0" w:line="240" w:lineRule="auto"/>
        <w:jc w:val="both"/>
        <w:outlineLvl w:val="0"/>
        <w:rPr>
          <w:rFonts w:ascii="Times New Roman" w:eastAsia="Times New Roman" w:hAnsi="Times New Roman" w:cs="Times New Roman"/>
          <w:b/>
          <w:sz w:val="24"/>
          <w:szCs w:val="24"/>
          <w:lang w:eastAsia="lv-LV"/>
        </w:rPr>
      </w:pPr>
      <w:r w:rsidRPr="0050228C">
        <w:rPr>
          <w:rFonts w:ascii="Times New Roman" w:eastAsia="Times New Roman" w:hAnsi="Times New Roman" w:cs="Times New Roman"/>
          <w:b/>
          <w:sz w:val="24"/>
          <w:szCs w:val="24"/>
          <w:lang w:eastAsia="lv-LV"/>
        </w:rPr>
        <w:t>1.</w:t>
      </w:r>
      <w:r w:rsidR="002E38CF">
        <w:rPr>
          <w:rFonts w:ascii="Times New Roman" w:eastAsia="Times New Roman" w:hAnsi="Times New Roman" w:cs="Times New Roman"/>
          <w:b/>
          <w:sz w:val="24"/>
          <w:szCs w:val="24"/>
          <w:lang w:eastAsia="lv-LV"/>
        </w:rPr>
        <w:t>3</w:t>
      </w:r>
      <w:r w:rsidRPr="0050228C">
        <w:rPr>
          <w:rFonts w:ascii="Times New Roman" w:eastAsia="Times New Roman" w:hAnsi="Times New Roman" w:cs="Times New Roman"/>
          <w:b/>
          <w:sz w:val="24"/>
          <w:szCs w:val="24"/>
          <w:lang w:eastAsia="lv-LV"/>
        </w:rPr>
        <w:t xml:space="preserve">. </w:t>
      </w:r>
      <w:r w:rsidR="007443E3" w:rsidRPr="0050228C">
        <w:rPr>
          <w:rFonts w:ascii="Times New Roman" w:eastAsia="Times New Roman" w:hAnsi="Times New Roman" w:cs="Times New Roman"/>
          <w:b/>
          <w:sz w:val="24"/>
          <w:szCs w:val="24"/>
          <w:lang w:eastAsia="lv-LV"/>
        </w:rPr>
        <w:t>Kritērijs – IZGLĪTĪBAS TURPINĀŠANA UN NODARBINĀTĪBA</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4C6E533D" w14:textId="77777777" w:rsidR="002E38CF" w:rsidRDefault="007443E3" w:rsidP="002E38C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2E38CF">
        <w:rPr>
          <w:rFonts w:ascii="Times New Roman" w:eastAsia="Times New Roman" w:hAnsi="Times New Roman" w:cs="Times New Roman"/>
          <w:bCs/>
          <w:sz w:val="24"/>
          <w:szCs w:val="24"/>
          <w:lang w:eastAsia="lv-LV"/>
        </w:rPr>
        <w:t>Izglītības iestādes darbs ar izglītojamiem, kam ir zemi mācību sasniegumi;</w:t>
      </w:r>
    </w:p>
    <w:p w14:paraId="00F30F90" w14:textId="77777777" w:rsidR="002E38CF" w:rsidRPr="002E38CF" w:rsidRDefault="007443E3" w:rsidP="002E38C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2E38CF">
        <w:rPr>
          <w:rFonts w:ascii="Times New Roman" w:hAnsi="Times New Roman" w:cs="Times New Roman"/>
          <w:sz w:val="24"/>
          <w:szCs w:val="24"/>
        </w:rPr>
        <w:t>Izglītības iestādes rīcība, izvērtējot absolventu un/vai viņu vecāku sniegto informāciju par nepieciešamo rīcību izglītības procesa pilnveidei;</w:t>
      </w:r>
    </w:p>
    <w:p w14:paraId="59FAC3BD" w14:textId="77777777" w:rsidR="002E38CF" w:rsidRDefault="007443E3" w:rsidP="002E38C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2E38CF">
        <w:rPr>
          <w:rFonts w:ascii="Times New Roman" w:eastAsia="Times New Roman" w:hAnsi="Times New Roman" w:cs="Times New Roman"/>
          <w:bCs/>
          <w:sz w:val="24"/>
          <w:szCs w:val="24"/>
          <w:lang w:eastAsia="lv-LV"/>
        </w:rPr>
        <w:t>Izglītības iestādes izglītojamo iemesli izglītības iestādes maiņai un mācību pārtraukšanai;</w:t>
      </w:r>
      <w:bookmarkStart w:id="0" w:name="_Hlk98930641"/>
    </w:p>
    <w:p w14:paraId="7A636E8A" w14:textId="77777777" w:rsidR="002E38CF" w:rsidRPr="002E38CF" w:rsidRDefault="007443E3" w:rsidP="002E38C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2E38CF">
        <w:rPr>
          <w:rFonts w:ascii="Times New Roman" w:hAnsi="Times New Roman" w:cs="Times New Roman"/>
          <w:sz w:val="24"/>
          <w:szCs w:val="24"/>
        </w:rPr>
        <w:t>Izglītības iestādes īstenotā karjeras izglītība (tiek izvērtēts profesionālās izglītības iestādēs, profesionālās ievirzes izglītības iestādēs, profesionālās tālākizglītības un profesionālās pilnveides izglītības iestādēs);</w:t>
      </w:r>
      <w:bookmarkEnd w:id="0"/>
    </w:p>
    <w:p w14:paraId="5330B1B0" w14:textId="61C269D8" w:rsidR="007D72A9" w:rsidRPr="002E38CF" w:rsidRDefault="00134690" w:rsidP="002E38C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2E38CF">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rsidTr="00FC06C5">
        <w:tc>
          <w:tcPr>
            <w:tcW w:w="1553"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rsidTr="00FC06C5">
        <w:tc>
          <w:tcPr>
            <w:tcW w:w="1553" w:type="dxa"/>
          </w:tcPr>
          <w:p w14:paraId="72CBB6F1" w14:textId="05F045C2"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w:t>
            </w:r>
            <w:r w:rsidR="002E38CF">
              <w:rPr>
                <w:rFonts w:ascii="Times New Roman" w:eastAsia="Times New Roman" w:hAnsi="Times New Roman" w:cs="Times New Roman"/>
                <w:bCs/>
                <w:sz w:val="24"/>
                <w:szCs w:val="24"/>
                <w:lang w:eastAsia="lv-LV"/>
              </w:rPr>
              <w:t>3</w:t>
            </w:r>
            <w:r w:rsidR="00AF3316">
              <w:rPr>
                <w:rFonts w:ascii="Times New Roman" w:eastAsia="Times New Roman" w:hAnsi="Times New Roman" w:cs="Times New Roman"/>
                <w:bCs/>
                <w:sz w:val="24"/>
                <w:szCs w:val="24"/>
                <w:lang w:eastAsia="lv-LV"/>
              </w:rPr>
              <w:t>.1.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rsidTr="00FC06C5">
        <w:tc>
          <w:tcPr>
            <w:tcW w:w="1553" w:type="dxa"/>
          </w:tcPr>
          <w:p w14:paraId="34F3BEA8" w14:textId="33DFC410"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2E38C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mācību noslēgumā un/vai izglītojamiem mainot izglītības iestādi, izzina izglītojamo, absolventu </w:t>
            </w:r>
            <w:r>
              <w:rPr>
                <w:rFonts w:ascii="Times New Roman" w:eastAsia="Times New Roman" w:hAnsi="Times New Roman" w:cs="Times New Roman"/>
                <w:bCs/>
                <w:sz w:val="24"/>
                <w:szCs w:val="24"/>
                <w:lang w:eastAsia="lv-LV"/>
              </w:rPr>
              <w:lastRenderedPageBreak/>
              <w:t>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vērtējumu par mācībām, izvērtē iegūto </w:t>
            </w:r>
            <w:r>
              <w:rPr>
                <w:rFonts w:ascii="Times New Roman" w:eastAsia="Times New Roman" w:hAnsi="Times New Roman" w:cs="Times New Roman"/>
                <w:bCs/>
                <w:sz w:val="24"/>
                <w:szCs w:val="24"/>
                <w:lang w:eastAsia="lv-LV"/>
              </w:rPr>
              <w:lastRenderedPageBreak/>
              <w:t>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mācību noslēgumā izzina absolventu un/vai viņu vecāku vērtējumu par mācībām, izvērtē vai </w:t>
            </w:r>
            <w:r>
              <w:rPr>
                <w:rFonts w:ascii="Times New Roman" w:eastAsia="Times New Roman" w:hAnsi="Times New Roman" w:cs="Times New Roman"/>
                <w:bCs/>
                <w:sz w:val="24"/>
                <w:szCs w:val="24"/>
                <w:lang w:eastAsia="lv-LV"/>
              </w:rPr>
              <w:lastRenderedPageBreak/>
              <w:t>daļēji izvērtē iegūto informāciju, bet turpina strādāt ar tiem pašiem trūkumiem, uz kuriem norāda absolventi un/vai viņu vecāki.</w:t>
            </w:r>
          </w:p>
        </w:tc>
      </w:tr>
      <w:tr w:rsidR="007D72A9" w14:paraId="43782C62" w14:textId="77777777" w:rsidTr="00FC06C5">
        <w:tc>
          <w:tcPr>
            <w:tcW w:w="1553" w:type="dxa"/>
          </w:tcPr>
          <w:p w14:paraId="576BFEAC" w14:textId="5E09D85B"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2E38C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6F08754C" w14:textId="77777777" w:rsidTr="00FC06C5">
        <w:tc>
          <w:tcPr>
            <w:tcW w:w="1553" w:type="dxa"/>
          </w:tcPr>
          <w:p w14:paraId="1BF987EB" w14:textId="257CE0D0"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2E38C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50228C">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4EDFF77F" w14:textId="77777777" w:rsidR="007D72A9" w:rsidRDefault="007443E3">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mērķtiecīgi, regulāri un sistēmiski rosina un atbalsta izglītojamos pieņemt apzinātus lēmumus par izglītības turpināšanu un nodarbinātību. Izglītības programma nodrošina mērķtiecīgu karjeras izglītību, izglītojamie mācību procesā un citās iestādes aktivitātēs pieredz dažādu, reālistisku darba vidi, iepazīstas ar dažādām profesijām un/vai padziļināti iepazīst savas apgūstamās profesijas specifiku un </w:t>
            </w:r>
            <w:r>
              <w:rPr>
                <w:rFonts w:ascii="Times New Roman" w:eastAsia="Times New Roman" w:hAnsi="Times New Roman" w:cs="Times New Roman"/>
                <w:bCs/>
                <w:sz w:val="24"/>
                <w:szCs w:val="24"/>
                <w:lang w:eastAsia="lv-LV"/>
              </w:rPr>
              <w:lastRenderedPageBreak/>
              <w:t>turpmākās izglītības ieguves iespējas. Izglītības iestāde veic uz datiem balstītu karjeras izglītības izvērtējumu, kas ļauj 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3989" w:type="dxa"/>
          </w:tcPr>
          <w:p w14:paraId="012694AA"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Izglītības iestāde rosina un atbalsta izglītojamos pieņemt apzinātus lēmumus par izglītības turpināšanu un nodarbinātību. Izglītības programma nodrošina karjeras izglītību, izglītojamie mācību procesā un citās iestādes aktivitātēs iepazīstas ar darba vidi, dažādām profesijām un/vai savas apgūstamās profesijas specifiku un turpmākās izglītības ieguves iespējām. Vairāk kā puse izglītojamo ir informēti par aktualitātēm darba tirgū, karjeras </w:t>
            </w:r>
            <w:r>
              <w:rPr>
                <w:rFonts w:ascii="Times New Roman" w:eastAsia="Times New Roman" w:hAnsi="Times New Roman" w:cs="Times New Roman"/>
                <w:bCs/>
                <w:sz w:val="24"/>
                <w:szCs w:val="24"/>
                <w:lang w:eastAsia="lv-LV"/>
              </w:rPr>
              <w:lastRenderedPageBreak/>
              <w:t>iespējām un tendencēm vietējā un valsts mērogā.</w:t>
            </w:r>
          </w:p>
        </w:tc>
        <w:tc>
          <w:tcPr>
            <w:tcW w:w="3990" w:type="dxa"/>
          </w:tcPr>
          <w:p w14:paraId="4021E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jāpilnveido veids, kā izglītojamie tiek informēti un pieņem lēmumus par izglītības turpināšanas iespējām un nodarbinātību. Izglītības programma mācību procesā dod iespēju iepazīties ar darba vidi, dažādām profesijām un/vai savas apgūstamās profesijas specifiku, bet tā ir atsevišķu pedagogu iniciatīva, nevis iestādes pieeja karjeras izglītībai. Puse vai mazāk nekā puse izglītojamo ir informēti par </w:t>
            </w:r>
            <w:r>
              <w:rPr>
                <w:rFonts w:ascii="Times New Roman" w:eastAsia="Times New Roman" w:hAnsi="Times New Roman" w:cs="Times New Roman"/>
                <w:bCs/>
                <w:sz w:val="24"/>
                <w:szCs w:val="24"/>
                <w:lang w:eastAsia="lv-LV"/>
              </w:rPr>
              <w:lastRenderedPageBreak/>
              <w:t>aktualitātēm darba tirgū, karjeras iespējām un tendencēm vietējā un valsts mērogā.</w:t>
            </w:r>
          </w:p>
        </w:tc>
      </w:tr>
      <w:tr w:rsidR="007D72A9" w14:paraId="54799163" w14:textId="77777777" w:rsidTr="00FC06C5">
        <w:tc>
          <w:tcPr>
            <w:tcW w:w="1553" w:type="dxa"/>
          </w:tcPr>
          <w:p w14:paraId="3288E171" w14:textId="4166C78F"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2E38C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50228C">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6F11CC44" w14:textId="324E5C2D" w:rsidR="007D72A9" w:rsidRDefault="007D72A9" w:rsidP="0050228C">
      <w:pPr>
        <w:spacing w:after="0" w:line="240" w:lineRule="auto"/>
        <w:outlineLvl w:val="0"/>
        <w:rPr>
          <w:rFonts w:ascii="Times New Roman" w:eastAsia="Times New Roman" w:hAnsi="Times New Roman" w:cs="Times New Roman"/>
          <w:bCs/>
          <w:sz w:val="32"/>
          <w:szCs w:val="32"/>
          <w:lang w:eastAsia="lv-LV"/>
        </w:rPr>
      </w:pPr>
    </w:p>
    <w:p w14:paraId="18D63FB9" w14:textId="77777777" w:rsidR="007D72A9" w:rsidRDefault="007D72A9">
      <w:pPr>
        <w:spacing w:after="0" w:line="240" w:lineRule="auto"/>
        <w:jc w:val="both"/>
        <w:outlineLvl w:val="0"/>
        <w:rPr>
          <w:rFonts w:ascii="Times New Roman" w:eastAsia="Times New Roman" w:hAnsi="Times New Roman" w:cs="Times New Roman"/>
          <w:bCs/>
          <w:sz w:val="28"/>
          <w:szCs w:val="28"/>
          <w:lang w:eastAsia="lv-LV"/>
        </w:rPr>
      </w:pPr>
    </w:p>
    <w:p w14:paraId="6E5748C9" w14:textId="3A4F4C0D" w:rsidR="007D72A9" w:rsidRDefault="00172ECD">
      <w:pPr>
        <w:spacing w:after="0" w:line="240" w:lineRule="auto"/>
        <w:jc w:val="both"/>
        <w:outlineLvl w:val="0"/>
        <w:rPr>
          <w:rFonts w:ascii="Times New Roman" w:eastAsia="Times New Roman" w:hAnsi="Times New Roman" w:cs="Times New Roman"/>
          <w:b/>
          <w:sz w:val="24"/>
          <w:szCs w:val="24"/>
          <w:lang w:eastAsia="lv-LV"/>
        </w:rPr>
      </w:pPr>
      <w:r w:rsidRPr="0050228C">
        <w:rPr>
          <w:rFonts w:ascii="Times New Roman" w:eastAsia="Times New Roman" w:hAnsi="Times New Roman" w:cs="Times New Roman"/>
          <w:b/>
          <w:sz w:val="24"/>
          <w:szCs w:val="24"/>
          <w:lang w:eastAsia="lv-LV"/>
        </w:rPr>
        <w:lastRenderedPageBreak/>
        <w:t>2.</w:t>
      </w:r>
      <w:r w:rsidR="00AC4EC5">
        <w:rPr>
          <w:rFonts w:ascii="Times New Roman" w:eastAsia="Times New Roman" w:hAnsi="Times New Roman" w:cs="Times New Roman"/>
          <w:b/>
          <w:sz w:val="24"/>
          <w:szCs w:val="24"/>
          <w:lang w:eastAsia="lv-LV"/>
        </w:rPr>
        <w:t>5</w:t>
      </w:r>
      <w:r w:rsidRPr="0050228C">
        <w:rPr>
          <w:rFonts w:ascii="Times New Roman" w:eastAsia="Times New Roman" w:hAnsi="Times New Roman" w:cs="Times New Roman"/>
          <w:b/>
          <w:sz w:val="24"/>
          <w:szCs w:val="24"/>
          <w:lang w:eastAsia="lv-LV"/>
        </w:rPr>
        <w:t xml:space="preserve">. </w:t>
      </w:r>
      <w:r w:rsidR="007443E3" w:rsidRPr="0050228C">
        <w:rPr>
          <w:rFonts w:ascii="Times New Roman" w:eastAsia="Times New Roman" w:hAnsi="Times New Roman" w:cs="Times New Roman"/>
          <w:b/>
          <w:sz w:val="24"/>
          <w:szCs w:val="24"/>
          <w:lang w:eastAsia="lv-LV"/>
        </w:rPr>
        <w:t>Kritērijs – MĀCĪŠANA UN MĀCĪŠANĀS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5E9F940B" w14:textId="77777777" w:rsidR="00AC4EC5" w:rsidRDefault="007443E3" w:rsidP="00AC4EC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AC4EC5">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0F2728B0" w14:textId="77777777" w:rsidR="00AC4EC5" w:rsidRPr="00AC4EC5" w:rsidRDefault="007443E3" w:rsidP="00AC4EC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AC4EC5">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6512598D" w14:textId="77777777" w:rsidR="00AC4EC5" w:rsidRPr="00AC4EC5" w:rsidRDefault="007443E3" w:rsidP="00AC4EC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AC4EC5">
        <w:rPr>
          <w:rFonts w:ascii="Times New Roman" w:hAnsi="Times New Roman" w:cs="Times New Roman"/>
          <w:sz w:val="24"/>
          <w:szCs w:val="24"/>
        </w:rPr>
        <w:t>Mācību sasniegumu vērtēšanas kārtība;</w:t>
      </w:r>
    </w:p>
    <w:p w14:paraId="7EC1C258" w14:textId="77777777" w:rsidR="00AC4EC5" w:rsidRPr="00AC4EC5" w:rsidRDefault="007443E3" w:rsidP="00AC4EC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AC4EC5">
        <w:rPr>
          <w:rFonts w:ascii="Times New Roman" w:hAnsi="Times New Roman" w:cs="Times New Roman"/>
          <w:sz w:val="24"/>
          <w:szCs w:val="24"/>
        </w:rPr>
        <w:t>Izglītības iestādes individualizēta un/vai personalizēta atbalsta sniegšana izglītojamiem;</w:t>
      </w:r>
    </w:p>
    <w:p w14:paraId="36E644FA" w14:textId="787A1698" w:rsidR="007D72A9" w:rsidRPr="00AC4EC5" w:rsidRDefault="007443E3" w:rsidP="00AC4EC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AC4EC5">
        <w:rPr>
          <w:rFonts w:ascii="Times New Roman" w:hAnsi="Times New Roman" w:cs="Times New Roman"/>
          <w:sz w:val="24"/>
          <w:szCs w:val="24"/>
        </w:rPr>
        <w:t>Izglītības procesa īstenošana izglītības iestādēs, kuras īsteno tālmācības izglītības programmu (tiek izvērtēts vispārējās un profesionālās izglītības programmās, kuras tiek īstenotas tālmācības formā);</w:t>
      </w:r>
    </w:p>
    <w:p w14:paraId="3A889D95" w14:textId="77777777" w:rsidR="00726D8D" w:rsidRPr="00EA60C5" w:rsidRDefault="00726D8D" w:rsidP="00726D8D">
      <w:pPr>
        <w:pStyle w:val="Sarakstarindkopa"/>
        <w:spacing w:after="0" w:line="240" w:lineRule="auto"/>
        <w:ind w:left="1146"/>
        <w:jc w:val="both"/>
        <w:outlineLvl w:val="0"/>
        <w:rPr>
          <w:rFonts w:ascii="Times New Roman" w:eastAsia="Times New Roman" w:hAnsi="Times New Roman" w:cs="Times New Roman"/>
          <w:bCs/>
          <w:sz w:val="24"/>
          <w:szCs w:val="24"/>
          <w:highlight w:val="cyan"/>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rsidTr="00EA2C9F">
        <w:tc>
          <w:tcPr>
            <w:tcW w:w="1556"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rsidTr="00EA2C9F">
        <w:tc>
          <w:tcPr>
            <w:tcW w:w="1556" w:type="dxa"/>
          </w:tcPr>
          <w:p w14:paraId="370F87F9" w14:textId="290C14F9"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AC4EC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14:paraId="697CE461" w14:textId="77777777" w:rsidTr="00EA2C9F">
        <w:tc>
          <w:tcPr>
            <w:tcW w:w="1556" w:type="dxa"/>
          </w:tcPr>
          <w:p w14:paraId="60EE3483" w14:textId="7B917C09"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AC4EC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50228C">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w:t>
            </w:r>
            <w:r>
              <w:rPr>
                <w:rFonts w:ascii="Times New Roman" w:eastAsia="Times New Roman" w:hAnsi="Times New Roman" w:cs="Times New Roman"/>
                <w:bCs/>
                <w:sz w:val="24"/>
                <w:szCs w:val="24"/>
                <w:lang w:eastAsia="lv-LV"/>
              </w:rPr>
              <w:lastRenderedPageBreak/>
              <w:t>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lielākā daļa pedagogi kopīgi plāno izglītības satura </w:t>
            </w:r>
            <w:r>
              <w:rPr>
                <w:rFonts w:ascii="Times New Roman" w:eastAsia="Times New Roman" w:hAnsi="Times New Roman" w:cs="Times New Roman"/>
                <w:bCs/>
                <w:sz w:val="24"/>
                <w:szCs w:val="24"/>
                <w:lang w:eastAsia="lv-LV"/>
              </w:rPr>
              <w:lastRenderedPageBreak/>
              <w:t>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puse vai mazāk pedagogi plāno mācību satura apguvi </w:t>
            </w:r>
            <w:r>
              <w:rPr>
                <w:rFonts w:ascii="Times New Roman" w:eastAsia="Times New Roman" w:hAnsi="Times New Roman" w:cs="Times New Roman"/>
                <w:bCs/>
                <w:sz w:val="24"/>
                <w:szCs w:val="24"/>
                <w:lang w:eastAsia="lv-LV"/>
              </w:rPr>
              <w:lastRenderedPageBreak/>
              <w:t>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pārāk liels tiešsaistes nodarbību / mācību stundu saraksts u.tml.). Pedagogi sniedz vienveidīgu atgriezenisko saiti, neizvērtējot tās efektivitāti. Izglītojamiem nav pieejamas individuālās un/vai grupu konsultācijas. Summatīvā vērtēšana netiek atbilstoši pielāgota un ir tikai daļēji objektīva, ko apliecina pedagogi un izglītojamie.</w:t>
            </w:r>
          </w:p>
        </w:tc>
      </w:tr>
      <w:tr w:rsidR="007D72A9" w14:paraId="557651FF" w14:textId="77777777" w:rsidTr="00EA2C9F">
        <w:tc>
          <w:tcPr>
            <w:tcW w:w="1556" w:type="dxa"/>
          </w:tcPr>
          <w:p w14:paraId="141A7AEC" w14:textId="7F5DA6A3"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AC4EC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50228C">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w:t>
            </w:r>
            <w:r>
              <w:rPr>
                <w:rFonts w:ascii="Times New Roman" w:eastAsia="Times New Roman" w:hAnsi="Times New Roman" w:cs="Times New Roman"/>
                <w:bCs/>
                <w:sz w:val="24"/>
                <w:szCs w:val="24"/>
                <w:lang w:eastAsia="lv-LV"/>
              </w:rPr>
              <w:lastRenderedPageBreak/>
              <w:t>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risina problēmsituācijas, kuras rodas saistībā ar mācību sasniegumu vērtēšanu.</w:t>
            </w:r>
          </w:p>
        </w:tc>
      </w:tr>
      <w:tr w:rsidR="007D72A9" w14:paraId="19EFA5BD" w14:textId="77777777" w:rsidTr="00EA2C9F">
        <w:tc>
          <w:tcPr>
            <w:tcW w:w="1556" w:type="dxa"/>
          </w:tcPr>
          <w:p w14:paraId="373485F2" w14:textId="055A59CA"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AC4EC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50228C">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14:paraId="412FAB26" w14:textId="77777777" w:rsidTr="00EA2C9F">
        <w:tc>
          <w:tcPr>
            <w:tcW w:w="1556" w:type="dxa"/>
          </w:tcPr>
          <w:p w14:paraId="19B61329" w14:textId="2A0AD96A"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AC4EC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50228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7909DB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un īstenots atbilstoši tālmācību regulējošo normatīvo aktu prasībām, tas ir mūsdienīgs un kvalitatīvs. Izglītojamie izglītības programmu un </w:t>
            </w:r>
            <w:r>
              <w:rPr>
                <w:rFonts w:ascii="Times New Roman" w:eastAsia="Times New Roman" w:hAnsi="Times New Roman" w:cs="Times New Roman"/>
                <w:bCs/>
                <w:sz w:val="24"/>
                <w:szCs w:val="24"/>
                <w:lang w:eastAsia="lv-LV"/>
              </w:rPr>
              <w:lastRenderedPageBreak/>
              <w:t xml:space="preserve">mācību saturu apgūst individuāli, izmantojot izglītības iestādes veidotus īpaši strukturētus mācību materiālus, tehniskos un elektroniskos saziņas līdzekļus. Tie lielākajai daļai izglītojamo (76-90%) nodrošina iespēju mācību saturu apgūt pilnvērtīgi. Izglītojamiem ir plašas iespējas izglītības procesā saņemt dažādas konsultācijas un cita veida nepieciešamo atbalstu. Izglītojamie lielākoties izprot tālmācības iezīmes, atzīst mācības par kvalitatīvām. </w:t>
            </w:r>
          </w:p>
        </w:tc>
        <w:tc>
          <w:tcPr>
            <w:tcW w:w="4025" w:type="dxa"/>
          </w:tcPr>
          <w:p w14:paraId="0A24217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veidots un īstenots atbilstoši tālmācību regulējošo normatīvo aktu prasībām. Izglītojamie izglītības programmu un mācību saturu pamatā apgūst </w:t>
            </w:r>
            <w:r>
              <w:rPr>
                <w:rFonts w:ascii="Times New Roman" w:eastAsia="Times New Roman" w:hAnsi="Times New Roman" w:cs="Times New Roman"/>
                <w:bCs/>
                <w:sz w:val="24"/>
                <w:szCs w:val="24"/>
                <w:lang w:eastAsia="lv-LV"/>
              </w:rPr>
              <w:lastRenderedPageBreak/>
              <w:t>individuāli, izmantojot izglītības iestādes piedāvātus īpaši strukturētus mācību materiālus, tehniskos un elektroniskos saziņas līdzekļus. Izglītojamiem ir pieejamas konsultācijas un cita veida nepieciešamais atbalsts. Izglītojamie pamatā (50-75%) izprot tālmācības iezīmes, atzīst mācības par kvalitatīvām.</w:t>
            </w:r>
          </w:p>
        </w:tc>
        <w:tc>
          <w:tcPr>
            <w:tcW w:w="3982" w:type="dxa"/>
          </w:tcPr>
          <w:p w14:paraId="272493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jāpilnveido, lai tas pilnībā atbilstu tālmācību regulējošo normatīvo aktu prasībām. Izglītojamie izglītības programmu un mācību saturu apgūst </w:t>
            </w:r>
            <w:r>
              <w:rPr>
                <w:rFonts w:ascii="Times New Roman" w:eastAsia="Times New Roman" w:hAnsi="Times New Roman" w:cs="Times New Roman"/>
                <w:bCs/>
                <w:sz w:val="24"/>
                <w:szCs w:val="24"/>
                <w:lang w:eastAsia="lv-LV"/>
              </w:rPr>
              <w:lastRenderedPageBreak/>
              <w:t xml:space="preserve">individuāli, izmantojot izglītības iestādes piedāvātus īpaši strukturētus mācību materiālus, tehniskos un elektroniskos saziņas līdzekļus, kuri ne vienmēr ir pietiekami. Izglītojamiem ir pieejamas konsultācijas, bet tās ne vienmēr ir pietiekams. Izglītojamie pamatā (50-75%) izprot tālmācības iezīmes, atzīst mācības par viņiem atbilstošām. </w:t>
            </w:r>
          </w:p>
        </w:tc>
      </w:tr>
    </w:tbl>
    <w:p w14:paraId="2532AC24" w14:textId="77777777" w:rsidR="007D72A9" w:rsidRDefault="007D72A9"/>
    <w:p w14:paraId="2402A56A" w14:textId="2082BF2B" w:rsidR="007D72A9" w:rsidRDefault="00AC4EC5">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074A94" w:rsidRPr="0050228C">
        <w:rPr>
          <w:rFonts w:ascii="Times New Roman" w:eastAsia="Times New Roman" w:hAnsi="Times New Roman" w:cs="Times New Roman"/>
          <w:b/>
          <w:sz w:val="24"/>
          <w:szCs w:val="24"/>
          <w:lang w:eastAsia="lv-LV"/>
        </w:rPr>
        <w:t xml:space="preserve">.3. </w:t>
      </w:r>
      <w:r w:rsidR="007443E3" w:rsidRPr="0050228C">
        <w:rPr>
          <w:rFonts w:ascii="Times New Roman" w:eastAsia="Times New Roman" w:hAnsi="Times New Roman" w:cs="Times New Roman"/>
          <w:b/>
          <w:sz w:val="24"/>
          <w:szCs w:val="24"/>
          <w:lang w:eastAsia="lv-LV"/>
        </w:rPr>
        <w:t>Kritērijs – IZGLĪTĪBAS PROGRAMMU ĪSTENOŠANA</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7E3B5353" w:rsidR="00F21B9C" w:rsidRDefault="00D00723"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0EA85D42" w:rsidR="00703113" w:rsidRPr="00F21B9C" w:rsidRDefault="00D00723"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Pr>
          <w:rFonts w:ascii="Times New Roman" w:hAnsi="Times New Roman" w:cs="Times New Roman"/>
          <w:sz w:val="24"/>
          <w:szCs w:val="24"/>
        </w:rPr>
        <w:t xml:space="preserve">.3.2.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008E1D2F" w:rsidR="00703113" w:rsidRDefault="00D00723"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5E997138" w:rsidR="00703113" w:rsidRDefault="00D0072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7B44496F" w:rsidR="00703113" w:rsidRDefault="00D0072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2D1D2760" w14:textId="059B4A8C" w:rsidR="00300BE8" w:rsidRDefault="00D00723" w:rsidP="007B5836">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792C1749" w14:textId="3A5F91E7" w:rsidR="00300BE8" w:rsidRPr="007B5836" w:rsidRDefault="00D00723" w:rsidP="007B5836">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50228C">
        <w:rPr>
          <w:rFonts w:ascii="Times New Roman" w:eastAsia="Times New Roman" w:hAnsi="Times New Roman" w:cs="Times New Roman"/>
          <w:bCs/>
          <w:sz w:val="24"/>
          <w:szCs w:val="24"/>
          <w:lang w:eastAsia="lv-LV"/>
        </w:rPr>
        <w:t>7</w:t>
      </w:r>
      <w:r w:rsidR="00300BE8">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711E9F7D" w14:textId="1A4A4B17" w:rsidR="007D72A9" w:rsidRPr="00300BE8" w:rsidRDefault="00D00723" w:rsidP="007B5836">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w:t>
      </w:r>
      <w:r w:rsidR="0050228C">
        <w:rPr>
          <w:rFonts w:ascii="Times New Roman" w:eastAsia="Times New Roman" w:hAnsi="Times New Roman" w:cs="Times New Roman"/>
          <w:bCs/>
          <w:sz w:val="24"/>
          <w:szCs w:val="24"/>
          <w:lang w:eastAsia="lv-LV"/>
        </w:rPr>
        <w:t>8</w:t>
      </w:r>
      <w:r w:rsidR="00300BE8">
        <w:rPr>
          <w:rFonts w:ascii="Times New Roman" w:eastAsia="Times New Roman" w:hAnsi="Times New Roman" w:cs="Times New Roman"/>
          <w:bCs/>
          <w:sz w:val="24"/>
          <w:szCs w:val="24"/>
          <w:lang w:eastAsia="lv-LV"/>
        </w:rPr>
        <w:t xml:space="preserve">.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ED9826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236"/>
        <w:gridCol w:w="1302"/>
        <w:gridCol w:w="4098"/>
        <w:gridCol w:w="4090"/>
        <w:gridCol w:w="4320"/>
      </w:tblGrid>
      <w:tr w:rsidR="007D72A9" w14:paraId="3283C720" w14:textId="77777777" w:rsidTr="00D74D59">
        <w:tc>
          <w:tcPr>
            <w:tcW w:w="1538" w:type="dxa"/>
            <w:gridSpan w:val="2"/>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98"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rsidTr="00D74D59">
        <w:tc>
          <w:tcPr>
            <w:tcW w:w="1538" w:type="dxa"/>
            <w:gridSpan w:val="2"/>
          </w:tcPr>
          <w:p w14:paraId="047ADE56" w14:textId="490B07BD"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aktualizējusi un nodrošinājusi šādas informācijas  pieejamību VIIS: (i) izglītības iestādes nolikums, kurā iekļauta aktuālā informācija par izglītības iestādes darbību un izglītības programmas </w:t>
            </w:r>
            <w:r>
              <w:rPr>
                <w:rFonts w:ascii="Times New Roman" w:eastAsia="Times New Roman" w:hAnsi="Times New Roman" w:cs="Times New Roman"/>
                <w:bCs/>
                <w:sz w:val="24"/>
                <w:szCs w:val="24"/>
                <w:lang w:eastAsia="lv-LV"/>
              </w:rPr>
              <w:lastRenderedPageBreak/>
              <w:t>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ievietojusi izglītības iestādes pašnovērtējuma ziņojuma publiskojamo daļu.</w:t>
            </w:r>
          </w:p>
        </w:tc>
        <w:tc>
          <w:tcPr>
            <w:tcW w:w="4090"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ir aktualizējusi un nodrošinājusi šādas informācijas pieejamību VIIS: (i) izglītības iestādes nolikums, kurā iekļauta aktuālā informācija par izglītības iestādes darbību un izglītības programmas </w:t>
            </w:r>
            <w:r>
              <w:rPr>
                <w:rFonts w:ascii="Times New Roman" w:eastAsia="Times New Roman" w:hAnsi="Times New Roman" w:cs="Times New Roman"/>
                <w:bCs/>
                <w:sz w:val="24"/>
                <w:szCs w:val="24"/>
                <w:lang w:eastAsia="lv-LV"/>
              </w:rPr>
              <w:lastRenderedPageBreak/>
              <w:t>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w:t>
            </w:r>
            <w:r>
              <w:rPr>
                <w:rFonts w:ascii="Times New Roman" w:eastAsia="Times New Roman" w:hAnsi="Times New Roman" w:cs="Times New Roman"/>
                <w:bCs/>
                <w:sz w:val="24"/>
                <w:szCs w:val="24"/>
                <w:lang w:eastAsia="lv-LV"/>
              </w:rPr>
              <w:lastRenderedPageBreak/>
              <w:t xml:space="preserve">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7D72A9" w14:paraId="112995FC" w14:textId="77777777" w:rsidTr="00D74D59">
        <w:tc>
          <w:tcPr>
            <w:tcW w:w="1538" w:type="dxa"/>
            <w:gridSpan w:val="2"/>
          </w:tcPr>
          <w:p w14:paraId="714121B4" w14:textId="4DE62A5C"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098"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090"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320" w:type="dxa"/>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rsidTr="00D74D59">
        <w:tc>
          <w:tcPr>
            <w:tcW w:w="1538" w:type="dxa"/>
            <w:gridSpan w:val="2"/>
          </w:tcPr>
          <w:p w14:paraId="036B91A8" w14:textId="54D18B75"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098"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iestādē visiem iesaistītajiem (piemēram, administrācijai, pedagogiem, atbalsta personālam, dibinātājam, vecākiem) ir vienota izpratne par tās īstenotās izglītības </w:t>
            </w:r>
            <w:r>
              <w:rPr>
                <w:rFonts w:ascii="Times New Roman" w:hAnsi="Times New Roman" w:cs="Times New Roman"/>
                <w:sz w:val="24"/>
                <w:szCs w:val="24"/>
              </w:rPr>
              <w:lastRenderedPageBreak/>
              <w:t>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090"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Izglītības iestādē lielākajai daļai iesaistīto (piemēram, administrācijai, pedagogiem, atbalsta personālam, dibinātājam, vecākiem) ir vienota izpratne par tās īstenotās izglītības </w:t>
            </w:r>
            <w:r>
              <w:rPr>
                <w:rFonts w:ascii="Times New Roman" w:hAnsi="Times New Roman" w:cs="Times New Roman"/>
                <w:sz w:val="24"/>
                <w:szCs w:val="24"/>
              </w:rPr>
              <w:lastRenderedPageBreak/>
              <w:t>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320" w:type="dxa"/>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pusei vai mazāk kā pusei iesaistīto </w:t>
            </w:r>
            <w:r>
              <w:rPr>
                <w:rFonts w:ascii="Times New Roman" w:hAnsi="Times New Roman" w:cs="Times New Roman"/>
                <w:sz w:val="24"/>
                <w:szCs w:val="24"/>
              </w:rPr>
              <w:t xml:space="preserve">(piemēram, administrācijai, pedagogiem, atbalsta personālam, dibinātājam, vecākiem) ir vienota izpratne par tās īstenotās izglītības programmas </w:t>
            </w:r>
            <w:r>
              <w:rPr>
                <w:rFonts w:ascii="Times New Roman" w:hAnsi="Times New Roman" w:cs="Times New Roman"/>
                <w:sz w:val="24"/>
                <w:szCs w:val="24"/>
              </w:rPr>
              <w:lastRenderedPageBreak/>
              <w:t>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rsidTr="00D74D59">
        <w:tc>
          <w:tcPr>
            <w:tcW w:w="1538" w:type="dxa"/>
            <w:gridSpan w:val="2"/>
          </w:tcPr>
          <w:p w14:paraId="5BBBE3A9" w14:textId="7CD9D057"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098"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Lielākā daļa pedagogu (ne mazāk kā 70%)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Vismaz puse pedagogu sadarbojas izglītības programmas īstenošanā, tādējādi 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rsidTr="00D74D59">
        <w:tc>
          <w:tcPr>
            <w:tcW w:w="1538" w:type="dxa"/>
            <w:gridSpan w:val="2"/>
          </w:tcPr>
          <w:p w14:paraId="7F624F96" w14:textId="53D98AFC"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098"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w:t>
            </w:r>
            <w:r>
              <w:rPr>
                <w:rFonts w:ascii="Times New Roman" w:eastAsia="Times New Roman" w:hAnsi="Times New Roman" w:cs="Times New Roman"/>
                <w:bCs/>
                <w:sz w:val="24"/>
                <w:szCs w:val="24"/>
                <w:lang w:eastAsia="lv-LV"/>
              </w:rPr>
              <w:lastRenderedPageBreak/>
              <w:t xml:space="preserve">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ārpusstundu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iesaistās šo pasākumu sagatavošanā un īstenošanā. </w:t>
            </w:r>
          </w:p>
        </w:tc>
        <w:tc>
          <w:tcPr>
            <w:tcW w:w="4090"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izvērtē darba plānā iekļauto pasākumu / aktivitāšu efektivitāti, tomēr dažkārt plānoto </w:t>
            </w:r>
            <w:r>
              <w:rPr>
                <w:rFonts w:ascii="Times New Roman" w:eastAsia="Times New Roman" w:hAnsi="Times New Roman" w:cs="Times New Roman"/>
                <w:bCs/>
                <w:sz w:val="24"/>
                <w:szCs w:val="24"/>
                <w:lang w:eastAsia="lv-LV"/>
              </w:rPr>
              <w:lastRenderedPageBreak/>
              <w:t xml:space="preserve">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par mācību un/vai ārpusstundu pasākumiem pamatā ir pedagogiem un/vai administrācijas/vadības darbiniekiem. </w:t>
            </w:r>
          </w:p>
        </w:tc>
        <w:tc>
          <w:tcPr>
            <w:tcW w:w="4320" w:type="dxa"/>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Lai arī izglītības iestādē organizētie mācību un/vai ārpusstundu pasākumi lielākoties ir pārdomāti un iekļaujas </w:t>
            </w:r>
            <w:r>
              <w:rPr>
                <w:rFonts w:ascii="Times New Roman" w:eastAsia="Times New Roman" w:hAnsi="Times New Roman" w:cs="Times New Roman"/>
                <w:bCs/>
                <w:sz w:val="24"/>
                <w:szCs w:val="24"/>
                <w:lang w:eastAsia="lv-LV"/>
              </w:rPr>
              <w:lastRenderedPageBreak/>
              <w:t>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skaidrības par to, kāds ir tā mērķis. Atbildība par mācību un/vai ārpusstundu pasākumiem ir pedagogiem un/vai administrācijai/vadībai.</w:t>
            </w:r>
          </w:p>
        </w:tc>
      </w:tr>
      <w:tr w:rsidR="007D72A9" w14:paraId="450F9F11" w14:textId="77777777" w:rsidTr="00D74D59">
        <w:tc>
          <w:tcPr>
            <w:tcW w:w="1538" w:type="dxa"/>
            <w:gridSpan w:val="2"/>
          </w:tcPr>
          <w:p w14:paraId="76990492" w14:textId="66342DDE"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098"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320" w:type="dxa"/>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7CFC9E6A" w14:textId="77777777" w:rsidTr="00D74D59">
        <w:tc>
          <w:tcPr>
            <w:tcW w:w="1538" w:type="dxa"/>
            <w:gridSpan w:val="2"/>
          </w:tcPr>
          <w:p w14:paraId="12EA634A" w14:textId="2E647B77"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F23B7C">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098"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090"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3E22EDA2" w14:textId="77777777" w:rsidTr="00D74D59">
        <w:tc>
          <w:tcPr>
            <w:tcW w:w="1538" w:type="dxa"/>
            <w:gridSpan w:val="2"/>
          </w:tcPr>
          <w:p w14:paraId="29E1FC08" w14:textId="637B2EDD" w:rsidR="007D72A9" w:rsidRDefault="00D0072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F23B7C">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098"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w:t>
            </w:r>
            <w:r>
              <w:rPr>
                <w:rFonts w:ascii="Times New Roman" w:eastAsia="Times New Roman" w:hAnsi="Times New Roman" w:cs="Times New Roman"/>
                <w:bCs/>
                <w:sz w:val="24"/>
                <w:szCs w:val="24"/>
                <w:lang w:eastAsia="lv-LV"/>
              </w:rPr>
              <w:lastRenderedPageBreak/>
              <w:t>salīdzinošā skatījumā, (iv) izglītojamo sasniegumus ikdienas mācībās, (v) izglītojamo sasniegumus valsts pārbaudes darbos. Iegūtie izvērtējuma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090"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w:t>
            </w:r>
            <w:r>
              <w:rPr>
                <w:rFonts w:ascii="Times New Roman" w:eastAsia="Times New Roman" w:hAnsi="Times New Roman" w:cs="Times New Roman"/>
                <w:bCs/>
                <w:sz w:val="24"/>
                <w:szCs w:val="24"/>
                <w:lang w:eastAsia="lv-LV"/>
              </w:rPr>
              <w:lastRenderedPageBreak/>
              <w:t xml:space="preserve">salīdzinošā skatījumā, (iv) izglītojamo mācību sasniegumus ikdienas darbā, (v) izglītojamo sasniegumus valsts pārbaudes darbos. Iegūtie izvērtējuma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320" w:type="dxa"/>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w:t>
            </w:r>
            <w:r>
              <w:rPr>
                <w:rFonts w:ascii="Times New Roman" w:eastAsia="Times New Roman" w:hAnsi="Times New Roman" w:cs="Times New Roman"/>
                <w:bCs/>
                <w:sz w:val="24"/>
                <w:szCs w:val="24"/>
                <w:lang w:eastAsia="lv-LV"/>
              </w:rPr>
              <w:lastRenderedPageBreak/>
              <w:t xml:space="preserve">salīdzinošā skatījumā, (iv) izglītojamo mācību sasniegumus ikdienas darbā, (v) izglītojamo sasniegumus valsts pārbaudes darbos. Iegūtie izvērtējuma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r w:rsidR="00D74D59" w14:paraId="07593CEA" w14:textId="77777777" w:rsidTr="00D74D59">
        <w:trPr>
          <w:gridAfter w:val="4"/>
          <w:wAfter w:w="13810" w:type="dxa"/>
        </w:trPr>
        <w:tc>
          <w:tcPr>
            <w:tcW w:w="236" w:type="dxa"/>
            <w:tcBorders>
              <w:top w:val="nil"/>
              <w:left w:val="nil"/>
              <w:bottom w:val="nil"/>
              <w:right w:val="nil"/>
            </w:tcBorders>
          </w:tcPr>
          <w:p w14:paraId="105AD2E4" w14:textId="77777777" w:rsidR="00D74D59" w:rsidRDefault="00D74D59">
            <w:pPr>
              <w:rPr>
                <w:rFonts w:ascii="Calibri" w:eastAsia="Calibri" w:hAnsi="Calibri"/>
              </w:rPr>
            </w:pPr>
          </w:p>
        </w:tc>
      </w:tr>
      <w:tr w:rsidR="00D74D59" w14:paraId="125E2C3B" w14:textId="77777777" w:rsidTr="00D74D59">
        <w:trPr>
          <w:gridAfter w:val="4"/>
          <w:wAfter w:w="13810" w:type="dxa"/>
        </w:trPr>
        <w:tc>
          <w:tcPr>
            <w:tcW w:w="236" w:type="dxa"/>
            <w:tcBorders>
              <w:top w:val="nil"/>
              <w:left w:val="nil"/>
              <w:bottom w:val="nil"/>
              <w:right w:val="nil"/>
            </w:tcBorders>
          </w:tcPr>
          <w:p w14:paraId="1D604C5C" w14:textId="77777777" w:rsidR="00D74D59" w:rsidRDefault="00D74D59">
            <w:pPr>
              <w:rPr>
                <w:rFonts w:ascii="Calibri" w:eastAsia="Calibri" w:hAnsi="Calibri"/>
              </w:rPr>
            </w:pPr>
          </w:p>
        </w:tc>
      </w:tr>
    </w:tbl>
    <w:p w14:paraId="41D39FDC" w14:textId="77777777" w:rsidR="007D72A9" w:rsidRDefault="007D72A9"/>
    <w:p w14:paraId="046DE6EE" w14:textId="1D56086F" w:rsidR="007D72A9" w:rsidRPr="00D93E05" w:rsidRDefault="007D72A9" w:rsidP="00D93E05">
      <w:pPr>
        <w:spacing w:after="0" w:line="240" w:lineRule="auto"/>
        <w:outlineLvl w:val="0"/>
        <w:rPr>
          <w:rFonts w:ascii="Times New Roman" w:eastAsia="Times New Roman" w:hAnsi="Times New Roman" w:cs="Times New Roman"/>
          <w:bCs/>
          <w:sz w:val="32"/>
          <w:szCs w:val="32"/>
          <w:lang w:eastAsia="lv-LV"/>
        </w:rPr>
      </w:pPr>
    </w:p>
    <w:sectPr w:rsidR="007D72A9" w:rsidRPr="00D93E05">
      <w:footerReference w:type="default" r:id="rId8"/>
      <w:footerReference w:type="first" r:id="rId9"/>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2E0A" w14:textId="77777777" w:rsidR="006C3E85" w:rsidRDefault="006C3E85">
      <w:pPr>
        <w:spacing w:after="0" w:line="240" w:lineRule="auto"/>
      </w:pPr>
      <w:r>
        <w:separator/>
      </w:r>
    </w:p>
  </w:endnote>
  <w:endnote w:type="continuationSeparator" w:id="0">
    <w:p w14:paraId="54A6BFA9" w14:textId="77777777" w:rsidR="006C3E85" w:rsidRDefault="006C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3BCA" w14:textId="623BE6F1" w:rsidR="008D5941" w:rsidRPr="00A22719" w:rsidRDefault="00A22719">
    <w:pPr>
      <w:pStyle w:val="Kjene"/>
      <w:rPr>
        <w:rFonts w:ascii="Times New Roman" w:hAnsi="Times New Roman" w:cs="Times New Roman"/>
        <w:i/>
        <w:iCs/>
        <w:sz w:val="20"/>
        <w:szCs w:val="20"/>
      </w:rPr>
    </w:pPr>
    <w:r w:rsidRPr="00A22719">
      <w:rPr>
        <w:rFonts w:ascii="Times New Roman" w:hAnsi="Times New Roman" w:cs="Times New Roman"/>
        <w:i/>
        <w:iCs/>
        <w:sz w:val="20"/>
        <w:szCs w:val="20"/>
      </w:rPr>
      <w:t>*</w:t>
    </w:r>
    <w:r w:rsidR="008D5941" w:rsidRPr="00A22719">
      <w:rPr>
        <w:rFonts w:ascii="Times New Roman" w:hAnsi="Times New Roman" w:cs="Times New Roman"/>
        <w:i/>
        <w:iCs/>
        <w:sz w:val="20"/>
        <w:szCs w:val="20"/>
      </w:rPr>
      <w:t xml:space="preserve">Izglītības kvalitātes vērtējuma līmeņu apraksts paredzēts profesionālās tālākizglītības un profesionālās pilnveides izglītības iestādēm </w:t>
    </w:r>
  </w:p>
  <w:p w14:paraId="534A2F89"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9E0E" w14:textId="77777777" w:rsidR="006C3E85" w:rsidRDefault="006C3E85">
      <w:pPr>
        <w:rPr>
          <w:sz w:val="12"/>
        </w:rPr>
      </w:pPr>
      <w:r>
        <w:separator/>
      </w:r>
    </w:p>
  </w:footnote>
  <w:footnote w:type="continuationSeparator" w:id="0">
    <w:p w14:paraId="3422DAC2" w14:textId="77777777" w:rsidR="006C3E85" w:rsidRDefault="006C3E85">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A67BB7"/>
    <w:multiLevelType w:val="multilevel"/>
    <w:tmpl w:val="BD2860D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6F401A"/>
    <w:multiLevelType w:val="multilevel"/>
    <w:tmpl w:val="ABA0B8E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10"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3"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4"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6"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9"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20"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1"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26119049">
    <w:abstractNumId w:val="3"/>
  </w:num>
  <w:num w:numId="2" w16cid:durableId="775246020">
    <w:abstractNumId w:val="16"/>
  </w:num>
  <w:num w:numId="3" w16cid:durableId="172495531">
    <w:abstractNumId w:val="13"/>
  </w:num>
  <w:num w:numId="4" w16cid:durableId="1617445893">
    <w:abstractNumId w:val="11"/>
  </w:num>
  <w:num w:numId="5" w16cid:durableId="1481461515">
    <w:abstractNumId w:val="9"/>
  </w:num>
  <w:num w:numId="6" w16cid:durableId="1813979578">
    <w:abstractNumId w:val="21"/>
  </w:num>
  <w:num w:numId="7" w16cid:durableId="935556274">
    <w:abstractNumId w:val="6"/>
  </w:num>
  <w:num w:numId="8" w16cid:durableId="700396491">
    <w:abstractNumId w:val="22"/>
  </w:num>
  <w:num w:numId="9" w16cid:durableId="83845683">
    <w:abstractNumId w:val="14"/>
  </w:num>
  <w:num w:numId="10" w16cid:durableId="1315179578">
    <w:abstractNumId w:val="0"/>
  </w:num>
  <w:num w:numId="11" w16cid:durableId="1815901577">
    <w:abstractNumId w:val="1"/>
  </w:num>
  <w:num w:numId="12" w16cid:durableId="50856406">
    <w:abstractNumId w:val="15"/>
  </w:num>
  <w:num w:numId="13" w16cid:durableId="2054621569">
    <w:abstractNumId w:val="18"/>
  </w:num>
  <w:num w:numId="14" w16cid:durableId="1407533778">
    <w:abstractNumId w:val="10"/>
  </w:num>
  <w:num w:numId="15" w16cid:durableId="929891448">
    <w:abstractNumId w:val="12"/>
  </w:num>
  <w:num w:numId="16" w16cid:durableId="339629226">
    <w:abstractNumId w:val="17"/>
  </w:num>
  <w:num w:numId="17" w16cid:durableId="513111158">
    <w:abstractNumId w:val="2"/>
  </w:num>
  <w:num w:numId="18" w16cid:durableId="1453474163">
    <w:abstractNumId w:val="19"/>
  </w:num>
  <w:num w:numId="19" w16cid:durableId="859855028">
    <w:abstractNumId w:val="20"/>
  </w:num>
  <w:num w:numId="20" w16cid:durableId="1030882312">
    <w:abstractNumId w:val="5"/>
  </w:num>
  <w:num w:numId="21" w16cid:durableId="1323387223">
    <w:abstractNumId w:val="4"/>
  </w:num>
  <w:num w:numId="22" w16cid:durableId="1521355114">
    <w:abstractNumId w:val="7"/>
  </w:num>
  <w:num w:numId="23" w16cid:durableId="1188256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41CCC"/>
    <w:rsid w:val="000443F0"/>
    <w:rsid w:val="00067308"/>
    <w:rsid w:val="00074A94"/>
    <w:rsid w:val="000A1F29"/>
    <w:rsid w:val="000A2E61"/>
    <w:rsid w:val="000A4630"/>
    <w:rsid w:val="000E734C"/>
    <w:rsid w:val="000F1414"/>
    <w:rsid w:val="00132E1A"/>
    <w:rsid w:val="00134690"/>
    <w:rsid w:val="00172ECD"/>
    <w:rsid w:val="001736B7"/>
    <w:rsid w:val="00176DDD"/>
    <w:rsid w:val="001C7466"/>
    <w:rsid w:val="001D2C62"/>
    <w:rsid w:val="001E7332"/>
    <w:rsid w:val="001F0819"/>
    <w:rsid w:val="00207316"/>
    <w:rsid w:val="00261EBC"/>
    <w:rsid w:val="00273CB1"/>
    <w:rsid w:val="002821EB"/>
    <w:rsid w:val="00292CB1"/>
    <w:rsid w:val="002A25AC"/>
    <w:rsid w:val="002A4436"/>
    <w:rsid w:val="002B0502"/>
    <w:rsid w:val="002B452A"/>
    <w:rsid w:val="002C2B7E"/>
    <w:rsid w:val="002E38CF"/>
    <w:rsid w:val="002E665E"/>
    <w:rsid w:val="00300BE8"/>
    <w:rsid w:val="003102DA"/>
    <w:rsid w:val="003115BA"/>
    <w:rsid w:val="00311E0F"/>
    <w:rsid w:val="003312F8"/>
    <w:rsid w:val="003465DF"/>
    <w:rsid w:val="00352663"/>
    <w:rsid w:val="0036304F"/>
    <w:rsid w:val="0037417E"/>
    <w:rsid w:val="003B04EF"/>
    <w:rsid w:val="003B3326"/>
    <w:rsid w:val="003C25F4"/>
    <w:rsid w:val="003C2BC8"/>
    <w:rsid w:val="003F260D"/>
    <w:rsid w:val="003F3914"/>
    <w:rsid w:val="00417013"/>
    <w:rsid w:val="004532B2"/>
    <w:rsid w:val="00470FFB"/>
    <w:rsid w:val="0048278A"/>
    <w:rsid w:val="00493EA3"/>
    <w:rsid w:val="004970FB"/>
    <w:rsid w:val="004B1F99"/>
    <w:rsid w:val="004C2361"/>
    <w:rsid w:val="004D3441"/>
    <w:rsid w:val="004E4B37"/>
    <w:rsid w:val="004F6462"/>
    <w:rsid w:val="0050228C"/>
    <w:rsid w:val="0051560D"/>
    <w:rsid w:val="00534542"/>
    <w:rsid w:val="00541DD4"/>
    <w:rsid w:val="00563D69"/>
    <w:rsid w:val="0059301F"/>
    <w:rsid w:val="005B4C56"/>
    <w:rsid w:val="005C22C1"/>
    <w:rsid w:val="005D48AE"/>
    <w:rsid w:val="005E422E"/>
    <w:rsid w:val="005E7FA5"/>
    <w:rsid w:val="005F2A6F"/>
    <w:rsid w:val="00602761"/>
    <w:rsid w:val="0060621A"/>
    <w:rsid w:val="00614285"/>
    <w:rsid w:val="00614A19"/>
    <w:rsid w:val="00616BA6"/>
    <w:rsid w:val="0063448E"/>
    <w:rsid w:val="00653341"/>
    <w:rsid w:val="0066772B"/>
    <w:rsid w:val="0068699F"/>
    <w:rsid w:val="006940D1"/>
    <w:rsid w:val="00696DCE"/>
    <w:rsid w:val="006C3E85"/>
    <w:rsid w:val="006C546B"/>
    <w:rsid w:val="006F4861"/>
    <w:rsid w:val="00703113"/>
    <w:rsid w:val="00715BF0"/>
    <w:rsid w:val="00726D8D"/>
    <w:rsid w:val="00732316"/>
    <w:rsid w:val="00732442"/>
    <w:rsid w:val="007443E3"/>
    <w:rsid w:val="007540BB"/>
    <w:rsid w:val="00771F81"/>
    <w:rsid w:val="00796940"/>
    <w:rsid w:val="00796C1B"/>
    <w:rsid w:val="007A0A0C"/>
    <w:rsid w:val="007B5836"/>
    <w:rsid w:val="007D72A9"/>
    <w:rsid w:val="007F2D1C"/>
    <w:rsid w:val="007F5DD3"/>
    <w:rsid w:val="008165F9"/>
    <w:rsid w:val="0088450C"/>
    <w:rsid w:val="008954AC"/>
    <w:rsid w:val="008A1660"/>
    <w:rsid w:val="008A491F"/>
    <w:rsid w:val="008A5047"/>
    <w:rsid w:val="008D0A77"/>
    <w:rsid w:val="008D5941"/>
    <w:rsid w:val="008D61B9"/>
    <w:rsid w:val="008D61E0"/>
    <w:rsid w:val="008E1F4B"/>
    <w:rsid w:val="009010DA"/>
    <w:rsid w:val="00917139"/>
    <w:rsid w:val="00931A16"/>
    <w:rsid w:val="00961446"/>
    <w:rsid w:val="00967D89"/>
    <w:rsid w:val="00975B66"/>
    <w:rsid w:val="00976CAA"/>
    <w:rsid w:val="00993CC0"/>
    <w:rsid w:val="009A5514"/>
    <w:rsid w:val="009D2D79"/>
    <w:rsid w:val="00A02C3C"/>
    <w:rsid w:val="00A20693"/>
    <w:rsid w:val="00A2186F"/>
    <w:rsid w:val="00A22719"/>
    <w:rsid w:val="00A3639D"/>
    <w:rsid w:val="00AB32F4"/>
    <w:rsid w:val="00AB5320"/>
    <w:rsid w:val="00AC4EC5"/>
    <w:rsid w:val="00AE5C66"/>
    <w:rsid w:val="00AF3316"/>
    <w:rsid w:val="00AF4C33"/>
    <w:rsid w:val="00B0678B"/>
    <w:rsid w:val="00B11196"/>
    <w:rsid w:val="00B163DB"/>
    <w:rsid w:val="00B613C0"/>
    <w:rsid w:val="00B76195"/>
    <w:rsid w:val="00B9203C"/>
    <w:rsid w:val="00BB018B"/>
    <w:rsid w:val="00BB183F"/>
    <w:rsid w:val="00BB7BEF"/>
    <w:rsid w:val="00BD00AB"/>
    <w:rsid w:val="00BF113A"/>
    <w:rsid w:val="00C15F7A"/>
    <w:rsid w:val="00C23C75"/>
    <w:rsid w:val="00C26251"/>
    <w:rsid w:val="00C31D9B"/>
    <w:rsid w:val="00C31F95"/>
    <w:rsid w:val="00C66ABD"/>
    <w:rsid w:val="00CA1257"/>
    <w:rsid w:val="00CB544E"/>
    <w:rsid w:val="00CB6025"/>
    <w:rsid w:val="00D00723"/>
    <w:rsid w:val="00D3276F"/>
    <w:rsid w:val="00D33394"/>
    <w:rsid w:val="00D35F0E"/>
    <w:rsid w:val="00D74D59"/>
    <w:rsid w:val="00D87956"/>
    <w:rsid w:val="00D921DA"/>
    <w:rsid w:val="00D93E05"/>
    <w:rsid w:val="00D96B1C"/>
    <w:rsid w:val="00DC179F"/>
    <w:rsid w:val="00DC3056"/>
    <w:rsid w:val="00DE1072"/>
    <w:rsid w:val="00E004D5"/>
    <w:rsid w:val="00E03E38"/>
    <w:rsid w:val="00E15FEC"/>
    <w:rsid w:val="00E162D0"/>
    <w:rsid w:val="00E21265"/>
    <w:rsid w:val="00E3416A"/>
    <w:rsid w:val="00E517F4"/>
    <w:rsid w:val="00E624CE"/>
    <w:rsid w:val="00E6256D"/>
    <w:rsid w:val="00E70471"/>
    <w:rsid w:val="00EA1E10"/>
    <w:rsid w:val="00EA2C9F"/>
    <w:rsid w:val="00EA60C5"/>
    <w:rsid w:val="00EC1ACC"/>
    <w:rsid w:val="00F022D2"/>
    <w:rsid w:val="00F21B9C"/>
    <w:rsid w:val="00F23B7C"/>
    <w:rsid w:val="00F419A7"/>
    <w:rsid w:val="00F431B1"/>
    <w:rsid w:val="00F437BB"/>
    <w:rsid w:val="00F6203E"/>
    <w:rsid w:val="00F72792"/>
    <w:rsid w:val="00F91D06"/>
    <w:rsid w:val="00F92B7B"/>
    <w:rsid w:val="00F95936"/>
    <w:rsid w:val="00F96C7D"/>
    <w:rsid w:val="00FA632F"/>
    <w:rsid w:val="00FA71A0"/>
    <w:rsid w:val="00FC06C5"/>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5740</Words>
  <Characters>32720</Characters>
  <Application>Microsoft Office Word</Application>
  <DocSecurity>0</DocSecurity>
  <Lines>272</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2</cp:revision>
  <cp:lastPrinted>2021-11-03T09:56:00Z</cp:lastPrinted>
  <dcterms:created xsi:type="dcterms:W3CDTF">2022-10-20T15:07:00Z</dcterms:created>
  <dcterms:modified xsi:type="dcterms:W3CDTF">2022-10-20T15:07:00Z</dcterms:modified>
  <dc:language>lv-LV</dc:language>
</cp:coreProperties>
</file>