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0566" w14:textId="77777777" w:rsidR="00816707" w:rsidRDefault="00816707" w:rsidP="00816707">
      <w:pPr>
        <w:spacing w:after="0" w:line="240" w:lineRule="auto"/>
        <w:jc w:val="both"/>
        <w:rPr>
          <w:rFonts w:ascii="Times New Roman" w:eastAsia="Times New Roman" w:hAnsi="Times New Roman" w:cs="Times New Roman"/>
          <w:sz w:val="24"/>
          <w:szCs w:val="24"/>
          <w:lang w:eastAsia="lv-LV"/>
        </w:rPr>
      </w:pPr>
    </w:p>
    <w:p w14:paraId="3A50D39A" w14:textId="77777777" w:rsidR="00816707" w:rsidRDefault="00816707" w:rsidP="00816707">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w:t>
      </w:r>
      <w:proofErr w:type="spellStart"/>
      <w:r>
        <w:rPr>
          <w:rFonts w:ascii="Times New Roman" w:eastAsia="Times New Roman" w:hAnsi="Times New Roman" w:cs="Times New Roman"/>
          <w:b/>
          <w:sz w:val="32"/>
          <w:szCs w:val="32"/>
          <w:lang w:eastAsia="lv-LV"/>
        </w:rPr>
        <w:t>pašvērtēšanai</w:t>
      </w:r>
      <w:proofErr w:type="spellEnd"/>
      <w:r>
        <w:rPr>
          <w:rFonts w:ascii="Times New Roman" w:eastAsia="Times New Roman" w:hAnsi="Times New Roman" w:cs="Times New Roman"/>
          <w:b/>
          <w:sz w:val="32"/>
          <w:szCs w:val="32"/>
          <w:lang w:eastAsia="lv-LV"/>
        </w:rPr>
        <w:t xml:space="preserve"> </w:t>
      </w:r>
    </w:p>
    <w:p w14:paraId="49D2819A" w14:textId="392A09C0" w:rsidR="00816707" w:rsidRDefault="00816707" w:rsidP="00816707">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p</w:t>
      </w:r>
      <w:r w:rsidRPr="00816707">
        <w:rPr>
          <w:rFonts w:ascii="Times New Roman" w:eastAsia="Times New Roman" w:hAnsi="Times New Roman" w:cs="Times New Roman"/>
          <w:b/>
          <w:sz w:val="32"/>
          <w:szCs w:val="32"/>
          <w:lang w:eastAsia="lv-LV"/>
        </w:rPr>
        <w:t>rofesionālās ievirzes izglītības iestādēm sportā</w:t>
      </w:r>
      <w:r>
        <w:rPr>
          <w:rFonts w:ascii="Times New Roman" w:eastAsia="Times New Roman" w:hAnsi="Times New Roman" w:cs="Times New Roman"/>
          <w:b/>
          <w:sz w:val="32"/>
          <w:szCs w:val="32"/>
          <w:lang w:eastAsia="lv-LV"/>
        </w:rPr>
        <w:t xml:space="preserve"> 2022./2023.māc.g.</w:t>
      </w:r>
      <w:r w:rsidR="00FB342B">
        <w:rPr>
          <w:rFonts w:ascii="Times New Roman" w:eastAsia="Times New Roman" w:hAnsi="Times New Roman" w:cs="Times New Roman"/>
          <w:b/>
          <w:sz w:val="32"/>
          <w:szCs w:val="32"/>
          <w:lang w:eastAsia="lv-LV"/>
        </w:rPr>
        <w:t>*</w:t>
      </w:r>
    </w:p>
    <w:p w14:paraId="6328D2C4" w14:textId="77777777" w:rsidR="007D72A9" w:rsidRDefault="007D72A9">
      <w:pPr>
        <w:spacing w:after="0" w:line="240" w:lineRule="auto"/>
        <w:jc w:val="center"/>
        <w:outlineLvl w:val="0"/>
        <w:rPr>
          <w:rFonts w:ascii="Times New Roman" w:eastAsia="Times New Roman" w:hAnsi="Times New Roman" w:cs="Times New Roman"/>
          <w:bCs/>
          <w:sz w:val="32"/>
          <w:szCs w:val="32"/>
          <w:lang w:eastAsia="lv-LV"/>
        </w:rPr>
      </w:pPr>
    </w:p>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787609F6" w:rsidR="007D72A9" w:rsidRDefault="00B11196">
      <w:pPr>
        <w:spacing w:after="0" w:line="240" w:lineRule="auto"/>
        <w:jc w:val="both"/>
        <w:outlineLvl w:val="0"/>
        <w:rPr>
          <w:rFonts w:ascii="Times New Roman" w:eastAsia="Times New Roman" w:hAnsi="Times New Roman" w:cs="Times New Roman"/>
          <w:b/>
          <w:sz w:val="24"/>
          <w:szCs w:val="24"/>
          <w:lang w:eastAsia="lv-LV"/>
        </w:rPr>
      </w:pPr>
      <w:r w:rsidRPr="00BB50BC">
        <w:rPr>
          <w:rFonts w:ascii="Times New Roman" w:eastAsia="Times New Roman" w:hAnsi="Times New Roman" w:cs="Times New Roman"/>
          <w:b/>
          <w:sz w:val="24"/>
          <w:szCs w:val="24"/>
          <w:lang w:eastAsia="lv-LV"/>
        </w:rPr>
        <w:t>1.</w:t>
      </w:r>
      <w:r w:rsidR="00A66B98">
        <w:rPr>
          <w:rFonts w:ascii="Times New Roman" w:eastAsia="Times New Roman" w:hAnsi="Times New Roman" w:cs="Times New Roman"/>
          <w:b/>
          <w:sz w:val="24"/>
          <w:szCs w:val="24"/>
          <w:lang w:eastAsia="lv-LV"/>
        </w:rPr>
        <w:t>3</w:t>
      </w:r>
      <w:r w:rsidRPr="00BB50BC">
        <w:rPr>
          <w:rFonts w:ascii="Times New Roman" w:eastAsia="Times New Roman" w:hAnsi="Times New Roman" w:cs="Times New Roman"/>
          <w:b/>
          <w:sz w:val="24"/>
          <w:szCs w:val="24"/>
          <w:lang w:eastAsia="lv-LV"/>
        </w:rPr>
        <w:t xml:space="preserve">. </w:t>
      </w:r>
      <w:r w:rsidR="007443E3" w:rsidRPr="00BB50BC">
        <w:rPr>
          <w:rFonts w:ascii="Times New Roman" w:eastAsia="Times New Roman" w:hAnsi="Times New Roman" w:cs="Times New Roman"/>
          <w:b/>
          <w:sz w:val="24"/>
          <w:szCs w:val="24"/>
          <w:lang w:eastAsia="lv-LV"/>
        </w:rPr>
        <w:t>Kritērijs – IZGLĪTĪBAS TURPINĀŠANA UN NODARBINĀTĪBA</w:t>
      </w:r>
    </w:p>
    <w:p w14:paraId="5C9CB0E7"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023B86A2" w14:textId="552579C1"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“Izglītības turpināšana un nodarbinātība” ietvaros tiek izvērtēta karjeras izglītības kvalitāte, informācijas un datu ieguve par absolventu viedokli par mācībām un īstenotās izglītības programmas kvalitāti</w:t>
      </w:r>
      <w:r w:rsidR="002C2B7E">
        <w:rPr>
          <w:rFonts w:ascii="Times New Roman" w:eastAsia="Times New Roman" w:hAnsi="Times New Roman" w:cs="Times New Roman"/>
          <w:bCs/>
          <w:sz w:val="24"/>
          <w:szCs w:val="24"/>
          <w:lang w:eastAsia="lv-LV"/>
        </w:rPr>
        <w:t>, izglītības iestādes darbs ar izglītojamiem, kam ir zemi mācību sasniegumi</w:t>
      </w:r>
      <w:r>
        <w:rPr>
          <w:rFonts w:ascii="Times New Roman" w:eastAsia="Times New Roman" w:hAnsi="Times New Roman" w:cs="Times New Roman"/>
          <w:bCs/>
          <w:sz w:val="24"/>
          <w:szCs w:val="24"/>
          <w:lang w:eastAsia="lv-LV"/>
        </w:rPr>
        <w:t xml:space="preserve">. </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4A2DE39B" w14:textId="77777777" w:rsidR="00A66B98" w:rsidRDefault="007443E3" w:rsidP="00A66B98">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A66B98">
        <w:rPr>
          <w:rFonts w:ascii="Times New Roman" w:eastAsia="Times New Roman" w:hAnsi="Times New Roman" w:cs="Times New Roman"/>
          <w:bCs/>
          <w:sz w:val="24"/>
          <w:szCs w:val="24"/>
          <w:lang w:eastAsia="lv-LV"/>
        </w:rPr>
        <w:t>Izglītības iestādes darbs ar izglītojamiem, kam ir zemi mācību sasniegumi;</w:t>
      </w:r>
    </w:p>
    <w:p w14:paraId="17284949" w14:textId="77777777" w:rsidR="00A66B98" w:rsidRPr="00A66B98" w:rsidRDefault="007443E3" w:rsidP="00A66B98">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A66B98">
        <w:rPr>
          <w:rFonts w:ascii="Times New Roman" w:hAnsi="Times New Roman" w:cs="Times New Roman"/>
          <w:sz w:val="24"/>
          <w:szCs w:val="24"/>
        </w:rPr>
        <w:t>Izglītības iestādes rīcība, izvērtējot absolventu un/vai viņu vecāku sniegto informāciju par nepieciešamo rīcību izglītības procesa pilnveidei;</w:t>
      </w:r>
    </w:p>
    <w:p w14:paraId="73DA34C2" w14:textId="77777777" w:rsidR="00A66B98" w:rsidRDefault="007443E3" w:rsidP="00A66B98">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A66B98">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61CEB6B2" w14:textId="77777777" w:rsidR="00A66B98" w:rsidRPr="00A66B98" w:rsidRDefault="007443E3" w:rsidP="00A66B98">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A66B98">
        <w:rPr>
          <w:rFonts w:ascii="Times New Roman" w:hAnsi="Times New Roman" w:cs="Times New Roman"/>
          <w:sz w:val="24"/>
          <w:szCs w:val="24"/>
        </w:rPr>
        <w:t>Izglītības iestādes īstenotā karjeras izglītība (tiek izvērtēts profesionālās izglītības iestādēs, profesionālās ievirzes izglītības iestādēs, profesionālās tālākizglītības un profesionālās pilnveides izglītības iestādēs);</w:t>
      </w:r>
      <w:bookmarkEnd w:id="0"/>
    </w:p>
    <w:p w14:paraId="5330B1B0" w14:textId="53A7A76C" w:rsidR="007D72A9" w:rsidRPr="00A66B98" w:rsidRDefault="00134690" w:rsidP="00A66B98">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A66B98">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3C599C">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3C599C">
        <w:tc>
          <w:tcPr>
            <w:tcW w:w="1553" w:type="dxa"/>
          </w:tcPr>
          <w:p w14:paraId="72CBB6F1" w14:textId="08DF70F8"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A66B98">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w:t>
            </w:r>
            <w:r w:rsidRPr="00C66ABD">
              <w:rPr>
                <w:rFonts w:ascii="Times New Roman" w:eastAsia="Times New Roman" w:hAnsi="Times New Roman" w:cs="Times New Roman"/>
                <w:bCs/>
                <w:sz w:val="24"/>
                <w:szCs w:val="24"/>
                <w:lang w:eastAsia="lv-LV"/>
              </w:rPr>
              <w:lastRenderedPageBreak/>
              <w:t xml:space="preserve">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lastRenderedPageBreak/>
              <w:t xml:space="preserve">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w:t>
            </w:r>
            <w:r w:rsidRPr="00C66ABD">
              <w:rPr>
                <w:rFonts w:ascii="Times New Roman" w:eastAsia="Times New Roman" w:hAnsi="Times New Roman" w:cs="Times New Roman"/>
                <w:bCs/>
                <w:sz w:val="24"/>
                <w:szCs w:val="24"/>
                <w:lang w:eastAsia="lv-LV"/>
              </w:rPr>
              <w:lastRenderedPageBreak/>
              <w:t>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lastRenderedPageBreak/>
              <w:t xml:space="preserve">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w:t>
            </w:r>
            <w:r w:rsidRPr="00C66ABD">
              <w:rPr>
                <w:rFonts w:ascii="Times New Roman" w:eastAsia="Times New Roman" w:hAnsi="Times New Roman" w:cs="Times New Roman"/>
                <w:bCs/>
                <w:sz w:val="24"/>
                <w:szCs w:val="24"/>
                <w:lang w:eastAsia="lv-LV"/>
              </w:rPr>
              <w:lastRenderedPageBreak/>
              <w:t>veiksmīgus sistēmiskus risinājumus, lai novērstu otrgadību, kas atkārtojas gadu no gada.</w:t>
            </w:r>
          </w:p>
        </w:tc>
      </w:tr>
      <w:tr w:rsidR="007D72A9" w14:paraId="332CC41B" w14:textId="77777777" w:rsidTr="003C599C">
        <w:tc>
          <w:tcPr>
            <w:tcW w:w="1553" w:type="dxa"/>
          </w:tcPr>
          <w:p w14:paraId="34F3BEA8" w14:textId="6066691F"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A66B98">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un/vai izglītojamiem mainot izglītības iestādi, izzina izglītojamo, absolventu 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iegūto 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vai daļēji izvērtē iegūto informāciju, bet turpina strādāt ar tiem pašiem trūkumiem, uz kuriem norāda absolventi un/vai viņu vecāki.</w:t>
            </w:r>
          </w:p>
        </w:tc>
      </w:tr>
      <w:tr w:rsidR="007D72A9" w14:paraId="43782C62" w14:textId="77777777" w:rsidTr="003C599C">
        <w:tc>
          <w:tcPr>
            <w:tcW w:w="1553" w:type="dxa"/>
          </w:tcPr>
          <w:p w14:paraId="576BFEAC" w14:textId="310D1340"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A66B98">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6F08754C" w14:textId="77777777" w:rsidTr="003C599C">
        <w:tc>
          <w:tcPr>
            <w:tcW w:w="1553" w:type="dxa"/>
          </w:tcPr>
          <w:p w14:paraId="1BF987EB" w14:textId="1BE117B5"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A66B98">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BB50BC">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4EDFF77F" w14:textId="77777777" w:rsidR="007D72A9" w:rsidRDefault="007443E3">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nodarbinātību. Izglītības programma </w:t>
            </w:r>
            <w:r>
              <w:rPr>
                <w:rFonts w:ascii="Times New Roman" w:eastAsia="Times New Roman" w:hAnsi="Times New Roman" w:cs="Times New Roman"/>
                <w:bCs/>
                <w:sz w:val="24"/>
                <w:szCs w:val="24"/>
                <w:lang w:eastAsia="lv-LV"/>
              </w:rPr>
              <w:lastRenderedPageBreak/>
              <w:t>nodrošina mērķtiecīgu karjeras izglītību, izglītojamie mācību procesā un citās iestādes aktivitātēs pieredz dažādu, reālistisku darba vidi, iepazīstas ar dažādām profesijām un/vai padziļināti iepazīst savas apgūstamās profesijas specifiku un turpmākās izglītības ieguves iespējas. Izglītības iestāde veic uz datiem balstītu karjeras izglītības izvērtējumu,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3989" w:type="dxa"/>
          </w:tcPr>
          <w:p w14:paraId="012694AA"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Izglītības iestāde rosina un atbalsta izglītojamos pieņemt apzinātus lēmumus par izglītības turpināšanu un nodarbinātību. Izglītības programma nodrošina karjeras izglītību, </w:t>
            </w:r>
            <w:r>
              <w:rPr>
                <w:rFonts w:ascii="Times New Roman" w:eastAsia="Times New Roman" w:hAnsi="Times New Roman" w:cs="Times New Roman"/>
                <w:bCs/>
                <w:sz w:val="24"/>
                <w:szCs w:val="24"/>
                <w:lang w:eastAsia="lv-LV"/>
              </w:rPr>
              <w:lastRenderedPageBreak/>
              <w:t>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 karjeras iespējām un tendencēm vietējā un valsts mērogā.</w:t>
            </w:r>
          </w:p>
        </w:tc>
        <w:tc>
          <w:tcPr>
            <w:tcW w:w="3990" w:type="dxa"/>
          </w:tcPr>
          <w:p w14:paraId="4021E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jāpilnveido veids, kā izglītojamie tiek informēti un pieņem lēmumus par izglītības turpināšanas iespējām un nodarbinātību. Izglītības programma </w:t>
            </w:r>
            <w:r>
              <w:rPr>
                <w:rFonts w:ascii="Times New Roman" w:eastAsia="Times New Roman" w:hAnsi="Times New Roman" w:cs="Times New Roman"/>
                <w:bCs/>
                <w:sz w:val="24"/>
                <w:szCs w:val="24"/>
                <w:lang w:eastAsia="lv-LV"/>
              </w:rPr>
              <w:lastRenderedPageBreak/>
              <w:t>mācību procesā dod iespēju iepazīties ar darba vidi, dažādām profesijām un/vai savas apgūstamās profesijas specifiku, bet tā ir atsevišķu pedagogu iniciatīva, nevis iestādes pieeja karjeras izglītībai. Puse vai mazāk nekā puse izglītojamo ir informēti par aktualitātēm darba tirgū, karjeras iespējām un tendencēm vietējā un valsts mērogā.</w:t>
            </w:r>
          </w:p>
        </w:tc>
      </w:tr>
      <w:tr w:rsidR="007D72A9" w14:paraId="54799163" w14:textId="77777777" w:rsidTr="003C599C">
        <w:tc>
          <w:tcPr>
            <w:tcW w:w="1553" w:type="dxa"/>
          </w:tcPr>
          <w:p w14:paraId="3288E171" w14:textId="1C72E0A9"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A66B98">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BB50BC">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w:t>
            </w:r>
            <w:r>
              <w:rPr>
                <w:rFonts w:ascii="Times New Roman" w:eastAsia="Times New Roman" w:hAnsi="Times New Roman" w:cs="Times New Roman"/>
                <w:bCs/>
                <w:sz w:val="24"/>
                <w:szCs w:val="24"/>
                <w:lang w:eastAsia="lv-LV"/>
              </w:rPr>
              <w:lastRenderedPageBreak/>
              <w:t>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786C56BC" w14:textId="77777777" w:rsidR="00A27CB4" w:rsidRDefault="00A27CB4" w:rsidP="00A27CB4">
      <w:pPr>
        <w:spacing w:after="0" w:line="240" w:lineRule="auto"/>
        <w:outlineLvl w:val="0"/>
        <w:rPr>
          <w:rFonts w:ascii="Times New Roman" w:eastAsia="Times New Roman" w:hAnsi="Times New Roman" w:cs="Times New Roman"/>
          <w:bCs/>
          <w:sz w:val="32"/>
          <w:szCs w:val="32"/>
          <w:lang w:eastAsia="lv-LV"/>
        </w:rPr>
      </w:pPr>
    </w:p>
    <w:p w14:paraId="6E5748C9" w14:textId="24396441" w:rsidR="007D72A9" w:rsidRPr="00A27CB4" w:rsidRDefault="00172ECD" w:rsidP="00A27CB4">
      <w:pPr>
        <w:spacing w:after="0" w:line="240" w:lineRule="auto"/>
        <w:outlineLvl w:val="0"/>
        <w:rPr>
          <w:rFonts w:ascii="Times New Roman" w:eastAsia="Times New Roman" w:hAnsi="Times New Roman" w:cs="Times New Roman"/>
          <w:bCs/>
          <w:sz w:val="32"/>
          <w:szCs w:val="32"/>
          <w:lang w:eastAsia="lv-LV"/>
        </w:rPr>
      </w:pPr>
      <w:r w:rsidRPr="00A27CB4">
        <w:rPr>
          <w:rFonts w:ascii="Times New Roman" w:eastAsia="Times New Roman" w:hAnsi="Times New Roman" w:cs="Times New Roman"/>
          <w:b/>
          <w:sz w:val="24"/>
          <w:szCs w:val="24"/>
          <w:lang w:eastAsia="lv-LV"/>
        </w:rPr>
        <w:t>2.</w:t>
      </w:r>
      <w:r w:rsidR="00FA51F3">
        <w:rPr>
          <w:rFonts w:ascii="Times New Roman" w:eastAsia="Times New Roman" w:hAnsi="Times New Roman" w:cs="Times New Roman"/>
          <w:b/>
          <w:sz w:val="24"/>
          <w:szCs w:val="24"/>
          <w:lang w:eastAsia="lv-LV"/>
        </w:rPr>
        <w:t>5</w:t>
      </w:r>
      <w:r w:rsidRPr="00A27CB4">
        <w:rPr>
          <w:rFonts w:ascii="Times New Roman" w:eastAsia="Times New Roman" w:hAnsi="Times New Roman" w:cs="Times New Roman"/>
          <w:b/>
          <w:sz w:val="24"/>
          <w:szCs w:val="24"/>
          <w:lang w:eastAsia="lv-LV"/>
        </w:rPr>
        <w:t xml:space="preserve">. </w:t>
      </w:r>
      <w:r w:rsidR="007443E3" w:rsidRPr="00A27CB4">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7628655B" w14:textId="77777777" w:rsidR="00FA51F3" w:rsidRDefault="007443E3" w:rsidP="00FA51F3">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FA51F3">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45906C39" w14:textId="77777777" w:rsidR="00FA51F3" w:rsidRPr="00FA51F3" w:rsidRDefault="007443E3" w:rsidP="00FA51F3">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FA51F3">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17716D3C" w14:textId="77777777" w:rsidR="00FA51F3" w:rsidRPr="00FA51F3" w:rsidRDefault="007443E3" w:rsidP="00FA51F3">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FA51F3">
        <w:rPr>
          <w:rFonts w:ascii="Times New Roman" w:hAnsi="Times New Roman" w:cs="Times New Roman"/>
          <w:sz w:val="24"/>
          <w:szCs w:val="24"/>
        </w:rPr>
        <w:t>Izglītības procesa plānošanas un īstenošanas efektivitāte un kvalitāte (tiek izvērtēts profesionālās izglītības iestādēs profesionālajos mācību priekšmetos, profesionālās ievirzes izglītības iestādēs);</w:t>
      </w:r>
    </w:p>
    <w:p w14:paraId="089A06B7" w14:textId="77777777" w:rsidR="00FA51F3" w:rsidRPr="00FA51F3" w:rsidRDefault="007443E3" w:rsidP="00FA51F3">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FA51F3">
        <w:rPr>
          <w:rFonts w:ascii="Times New Roman" w:hAnsi="Times New Roman" w:cs="Times New Roman"/>
          <w:sz w:val="24"/>
          <w:szCs w:val="24"/>
        </w:rPr>
        <w:t>Mācību sasniegumu vērtēšanas kārtība;</w:t>
      </w:r>
    </w:p>
    <w:p w14:paraId="085AF558" w14:textId="0DC98FB0" w:rsidR="00172ECD" w:rsidRPr="00FA51F3" w:rsidRDefault="007443E3" w:rsidP="00FA51F3">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FA51F3">
        <w:rPr>
          <w:rFonts w:ascii="Times New Roman" w:hAnsi="Times New Roman" w:cs="Times New Roman"/>
          <w:sz w:val="24"/>
          <w:szCs w:val="24"/>
        </w:rPr>
        <w:t>Izglītības iestādes individualizēta un/vai personalizēta atbalsta sniegšana izglītojamiem;</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7D0CEE">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7D0CEE">
        <w:tc>
          <w:tcPr>
            <w:tcW w:w="1556" w:type="dxa"/>
          </w:tcPr>
          <w:p w14:paraId="370F87F9" w14:textId="61AF7FA9"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FA51F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w:t>
            </w:r>
            <w:r>
              <w:rPr>
                <w:rFonts w:ascii="Times New Roman" w:eastAsia="Times New Roman" w:hAnsi="Times New Roman" w:cs="Times New Roman"/>
                <w:bCs/>
                <w:sz w:val="24"/>
                <w:szCs w:val="24"/>
                <w:lang w:eastAsia="lv-LV"/>
              </w:rPr>
              <w:lastRenderedPageBreak/>
              <w:t>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697CE461" w14:textId="77777777" w:rsidTr="007D0CEE">
        <w:tc>
          <w:tcPr>
            <w:tcW w:w="1556" w:type="dxa"/>
          </w:tcPr>
          <w:p w14:paraId="60EE3483" w14:textId="2B6B8EB7"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FA51F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A27CB4">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14:paraId="0DABD517" w14:textId="77777777" w:rsidTr="007D0CEE">
        <w:tc>
          <w:tcPr>
            <w:tcW w:w="1556" w:type="dxa"/>
          </w:tcPr>
          <w:p w14:paraId="77524623" w14:textId="6178C937"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FA51F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A27CB4">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2A5991F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stundu / nodarbību vērošanas rezultāti izglītības iestādē apliecina, ka izglītības procesā lielākoties (75% un vairāk vērotajās stundās / nodarbībās) ir iespējams apgūt izglītojamiem nepieciešamās zināšanas, prasmes un attieksmes profesionālai darbībai, nodarbības ir metodiski un didaktiski daudzveidīgas un profesionāli veidotas, tajās pedagogiem un izglītojamiem kopīgi definējot </w:t>
            </w:r>
            <w:r>
              <w:rPr>
                <w:rFonts w:ascii="Times New Roman" w:eastAsia="Times New Roman" w:hAnsi="Times New Roman" w:cs="Times New Roman"/>
                <w:bCs/>
                <w:sz w:val="24"/>
                <w:szCs w:val="24"/>
                <w:lang w:eastAsia="lv-LV"/>
              </w:rPr>
              <w:lastRenderedPageBreak/>
              <w:t>sasniedzamo rezultātu un strukturējot trīs daļās (ierosināšana, apjēgšana un refleksija). Mācību stundā un nodarbībā tiek sniegta un saņemta pedagogu un izglītojamo dažāda atgriezeniskā saite, izglītojamie paši prot novērtēt savu veikumu mācību stundā / nodarbībā. Pedagogi pielāgo izglītības saturu klasei / grupai / izglītojamam atbilstoši viņu spējām, vajadzībām un interesēm. Lielākā daļa izglītojamie (75% un vairāk vērotajās mācību stundās / nodarbībās) ir motivēti apgūt mācību stundās / nodarbībās piedāvāto izglītības saturu, pedagogi vada mācības un izglītības process pamatā ir izglītojamo centrēts un/vai izglītojamo vadīts.</w:t>
            </w:r>
          </w:p>
        </w:tc>
        <w:tc>
          <w:tcPr>
            <w:tcW w:w="4025" w:type="dxa"/>
          </w:tcPr>
          <w:p w14:paraId="4940B3AD" w14:textId="77777777" w:rsidR="007D72A9" w:rsidRPr="00614A19" w:rsidRDefault="007443E3">
            <w:pPr>
              <w:spacing w:line="240" w:lineRule="auto"/>
              <w:jc w:val="both"/>
              <w:rPr>
                <w:rFonts w:ascii="Times New Roman" w:hAnsi="Times New Roman" w:cs="Times New Roman"/>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(51 – 74% vērotajās nodarbībās) ir iespējams apgūt izglītojamiem nepieciešamās zināšanas, prasmes un attieksmes profesionālai darbībai, nodarbības ir metodiski un didaktiski profesionāli veidotas, tajās pedagogiem definējot sasniedzamo rezultātu un strukturējot trīs daļās (ierosināšana, apjēgšana un refleksija). </w:t>
            </w:r>
            <w:r>
              <w:rPr>
                <w:rFonts w:ascii="Times New Roman" w:eastAsia="Times New Roman" w:hAnsi="Times New Roman" w:cs="Times New Roman"/>
                <w:bCs/>
                <w:sz w:val="24"/>
                <w:szCs w:val="24"/>
                <w:lang w:eastAsia="lv-LV"/>
              </w:rPr>
              <w:lastRenderedPageBreak/>
              <w:t xml:space="preserve">Mācību stundā un nodarbībā pamatā pedagogi sniedz atgriezenisko saiti izglītojamiem, pēc pedagoga sniegtajām norādēm izglītojamie prot novērtēt savu veikumu mācību stundā / nodarbībā. Pedagogi pielāgo izglītības saturu klasei / grupai / izglītojamam atbilstoši viņu spējām, vajadzībām un interesēm, bet dažkārt sasniegtais rezultāts norāda uz nepieciešamību pēc lielākām izmaiņām izglītības satura apguvē nekā pedagogs to ir plānojis. Vairāk kā puse izglītojamie (51 – 74% vērotajās mācību stundās / nodarbībās) ir motivēti apgūt mācību stundās / nodarbībās piedāvāto izglītības saturu, pedagogi pamatā māca un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 xml:space="preserve"> un/vai izglītojamo centrēts.</w:t>
            </w:r>
          </w:p>
        </w:tc>
        <w:tc>
          <w:tcPr>
            <w:tcW w:w="3982" w:type="dxa"/>
          </w:tcPr>
          <w:p w14:paraId="5239C7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(30 – 50% vērotajās nodarbībās) ir iespējams apgūt izglītojamiem nepieciešamās zināšanas, prasmes un attieksmes profesionālai darbībai, nodarbības ir metodiski un didaktiski daļēji profesionāli veidotas un/vai vienveidīgas, tajās pedagogi nepietiekami precīzi definē </w:t>
            </w:r>
            <w:r>
              <w:rPr>
                <w:rFonts w:ascii="Times New Roman" w:eastAsia="Times New Roman" w:hAnsi="Times New Roman" w:cs="Times New Roman"/>
                <w:bCs/>
                <w:sz w:val="24"/>
                <w:szCs w:val="24"/>
                <w:lang w:eastAsia="lv-LV"/>
              </w:rPr>
              <w:lastRenderedPageBreak/>
              <w:t xml:space="preserve">sasniedzamo rezultātu vai nenosaka sasniedzamo rezultātu, un/vai tajās nav ievērota nepieciešamība mācību stundu / nodarbību strukturēt trīs daļās (ierosināšana, apjēgšana un refleksija). Mācību stundā un nodarbībā pedagogi daļēji pietiekami sniedz atgriezenisko saiti izglītojamiem, reti novērojams, ka izglītojamie prot objektīvi novērtēt savu veikumu mācību stundā / nodarbībā. Pedagogi daļēji pielāgo izglītības saturu klasei / grupai / izglītojamam atbilstoši viņu spējām, vajadzībām un interesēm, sasniegtais rezultāts pamatā norāda uz nepieciešamību pēc lielākām izmaiņām izglītības satura apguvē nekā pedagogs to ir plānojis. Puse un mazāk izglītojamie (30 – 50% vērotajās mācību stundās / nodarbībās) ir motivēti apgūt mācību stundās / nodarbībās piedāvāto izglītības saturu, pedagogi pamatā māca un izglītības process lielākoties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557651FF" w14:textId="77777777" w:rsidTr="007D0CEE">
        <w:tc>
          <w:tcPr>
            <w:tcW w:w="1556" w:type="dxa"/>
          </w:tcPr>
          <w:p w14:paraId="141A7AEC" w14:textId="3E9FD448"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FA51F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A27CB4">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w:t>
            </w:r>
            <w:r>
              <w:rPr>
                <w:rFonts w:ascii="Times New Roman" w:eastAsia="Times New Roman" w:hAnsi="Times New Roman" w:cs="Times New Roman"/>
                <w:bCs/>
                <w:sz w:val="24"/>
                <w:szCs w:val="24"/>
                <w:lang w:eastAsia="lv-LV"/>
              </w:rPr>
              <w:lastRenderedPageBreak/>
              <w:t xml:space="preserve">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w:t>
            </w:r>
            <w:r>
              <w:rPr>
                <w:rFonts w:ascii="Times New Roman" w:eastAsia="Times New Roman" w:hAnsi="Times New Roman" w:cs="Times New Roman"/>
                <w:bCs/>
                <w:sz w:val="24"/>
                <w:szCs w:val="24"/>
                <w:lang w:eastAsia="lv-LV"/>
              </w:rPr>
              <w:lastRenderedPageBreak/>
              <w:t>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w:t>
            </w:r>
            <w:r>
              <w:rPr>
                <w:rFonts w:ascii="Times New Roman" w:eastAsia="Times New Roman" w:hAnsi="Times New Roman" w:cs="Times New Roman"/>
                <w:bCs/>
                <w:sz w:val="24"/>
                <w:szCs w:val="24"/>
                <w:lang w:eastAsia="lv-LV"/>
              </w:rPr>
              <w:lastRenderedPageBreak/>
              <w:t>sasniedzamos rezultātus. Izglītības iestādes vadība ne vienmēr sekmīgi risina problēmsituācijas, kuras rodas saistībā ar mācību sasniegumu vērtēšanu.</w:t>
            </w:r>
          </w:p>
        </w:tc>
      </w:tr>
      <w:tr w:rsidR="007D72A9" w14:paraId="19EFA5BD" w14:textId="77777777" w:rsidTr="007D0CEE">
        <w:tc>
          <w:tcPr>
            <w:tcW w:w="1556" w:type="dxa"/>
          </w:tcPr>
          <w:p w14:paraId="373485F2" w14:textId="49A6CE35"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FA51F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A27CB4">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bl>
    <w:p w14:paraId="2532AC24" w14:textId="77777777" w:rsidR="007D72A9" w:rsidRDefault="007D72A9"/>
    <w:p w14:paraId="2402A56A" w14:textId="35B69168" w:rsidR="007D72A9" w:rsidRDefault="00FA51F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074A94" w:rsidRPr="00A27CB4">
        <w:rPr>
          <w:rFonts w:ascii="Times New Roman" w:eastAsia="Times New Roman" w:hAnsi="Times New Roman" w:cs="Times New Roman"/>
          <w:b/>
          <w:sz w:val="24"/>
          <w:szCs w:val="24"/>
          <w:lang w:eastAsia="lv-LV"/>
        </w:rPr>
        <w:t xml:space="preserve">.3. </w:t>
      </w:r>
      <w:r w:rsidR="007443E3" w:rsidRPr="00A27CB4">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1503F5DB" w:rsidR="00F21B9C" w:rsidRDefault="00062A76"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724C44B5" w:rsidR="00703113" w:rsidRPr="00F21B9C" w:rsidRDefault="00062A76"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34185F7A" w:rsidR="00703113" w:rsidRDefault="00062A76"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56F99280" w:rsidR="00703113" w:rsidRDefault="00062A76"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336A7A15" w:rsidR="00703113" w:rsidRDefault="00062A76"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173CD5C1" w14:textId="51153306" w:rsidR="00703113" w:rsidRDefault="00062A76"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5B64C896" w14:textId="56B01E4C" w:rsidR="00300BE8" w:rsidRDefault="00062A76"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A27CB4">
        <w:rPr>
          <w:rFonts w:ascii="Times New Roman" w:eastAsia="Times New Roman" w:hAnsi="Times New Roman" w:cs="Times New Roman"/>
          <w:bCs/>
          <w:sz w:val="24"/>
          <w:szCs w:val="24"/>
          <w:lang w:eastAsia="lv-LV"/>
        </w:rPr>
        <w:t>7</w:t>
      </w:r>
      <w:r w:rsidR="00300BE8">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3ED9826F" w14:textId="073C23DD" w:rsidR="007D72A9" w:rsidRDefault="00062A76" w:rsidP="0096173B">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A27CB4">
        <w:rPr>
          <w:rFonts w:ascii="Times New Roman" w:eastAsia="Times New Roman" w:hAnsi="Times New Roman" w:cs="Times New Roman"/>
          <w:bCs/>
          <w:sz w:val="24"/>
          <w:szCs w:val="24"/>
          <w:lang w:eastAsia="lv-LV"/>
        </w:rPr>
        <w:t>8</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0D6A4E57" w14:textId="77777777" w:rsidR="0096173B" w:rsidRDefault="0096173B" w:rsidP="0096173B">
      <w:pPr>
        <w:spacing w:after="0" w:line="240" w:lineRule="auto"/>
        <w:ind w:left="1276" w:hanging="850"/>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236"/>
        <w:gridCol w:w="1302"/>
        <w:gridCol w:w="4098"/>
        <w:gridCol w:w="4090"/>
        <w:gridCol w:w="4320"/>
      </w:tblGrid>
      <w:tr w:rsidR="007D72A9" w14:paraId="3283C720" w14:textId="77777777" w:rsidTr="00DA76D7">
        <w:tc>
          <w:tcPr>
            <w:tcW w:w="1538" w:type="dxa"/>
            <w:gridSpan w:val="2"/>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DA76D7">
        <w:tc>
          <w:tcPr>
            <w:tcW w:w="1538" w:type="dxa"/>
            <w:gridSpan w:val="2"/>
          </w:tcPr>
          <w:p w14:paraId="047ADE56" w14:textId="5B5499C5" w:rsidR="007D72A9" w:rsidRDefault="006317F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rsidTr="00DA76D7">
        <w:tc>
          <w:tcPr>
            <w:tcW w:w="1538" w:type="dxa"/>
            <w:gridSpan w:val="2"/>
          </w:tcPr>
          <w:p w14:paraId="714121B4" w14:textId="30CFF39C"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rsidTr="00DA76D7">
        <w:tc>
          <w:tcPr>
            <w:tcW w:w="1538" w:type="dxa"/>
            <w:gridSpan w:val="2"/>
          </w:tcPr>
          <w:p w14:paraId="036B91A8" w14:textId="7BFA4E22"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rsidTr="00DA76D7">
        <w:tc>
          <w:tcPr>
            <w:tcW w:w="1538" w:type="dxa"/>
            <w:gridSpan w:val="2"/>
          </w:tcPr>
          <w:p w14:paraId="5BBBE3A9" w14:textId="743FBC77"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w:t>
            </w:r>
            <w:r>
              <w:rPr>
                <w:rFonts w:ascii="Times New Roman" w:eastAsia="Times New Roman" w:hAnsi="Times New Roman" w:cs="Times New Roman"/>
                <w:bCs/>
                <w:sz w:val="24"/>
                <w:szCs w:val="24"/>
                <w:lang w:eastAsia="lv-LV"/>
              </w:rPr>
              <w:lastRenderedPageBreak/>
              <w:t xml:space="preserve">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Lielākā daļa pedagogu (ne mazāk kā 70%) plānveidīgi sadarbojas izglītības </w:t>
            </w:r>
            <w:r>
              <w:rPr>
                <w:rFonts w:ascii="Times New Roman" w:eastAsia="Times New Roman" w:hAnsi="Times New Roman" w:cs="Times New Roman"/>
                <w:bCs/>
                <w:sz w:val="24"/>
                <w:szCs w:val="24"/>
                <w:lang w:eastAsia="lv-LV"/>
              </w:rPr>
              <w:lastRenderedPageBreak/>
              <w:t xml:space="preserve">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Vismaz puse pedagogu sadarbojas izglītības programmas īstenošanā, tādējādi </w:t>
            </w:r>
            <w:r>
              <w:rPr>
                <w:rFonts w:ascii="Times New Roman" w:eastAsia="Times New Roman" w:hAnsi="Times New Roman" w:cs="Times New Roman"/>
                <w:bCs/>
                <w:sz w:val="24"/>
                <w:szCs w:val="24"/>
                <w:lang w:eastAsia="lv-LV"/>
              </w:rPr>
              <w:lastRenderedPageBreak/>
              <w:t xml:space="preserve">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rsidTr="00DA76D7">
        <w:tc>
          <w:tcPr>
            <w:tcW w:w="1538" w:type="dxa"/>
            <w:gridSpan w:val="2"/>
          </w:tcPr>
          <w:p w14:paraId="7F624F96" w14:textId="21ED83D4"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ārpusstundu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lastRenderedPageBreak/>
              <w:t xml:space="preserve">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w:t>
            </w:r>
            <w:r>
              <w:rPr>
                <w:rFonts w:ascii="Times New Roman" w:eastAsia="Times New Roman" w:hAnsi="Times New Roman" w:cs="Times New Roman"/>
                <w:bCs/>
                <w:sz w:val="24"/>
                <w:szCs w:val="24"/>
                <w:lang w:eastAsia="lv-LV"/>
              </w:rPr>
              <w:lastRenderedPageBreak/>
              <w:t xml:space="preserve">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ārpusstundu </w:t>
            </w:r>
            <w:r>
              <w:rPr>
                <w:rFonts w:ascii="Times New Roman" w:eastAsia="Times New Roman" w:hAnsi="Times New Roman" w:cs="Times New Roman"/>
                <w:bCs/>
                <w:sz w:val="24"/>
                <w:szCs w:val="24"/>
                <w:lang w:eastAsia="lv-LV"/>
              </w:rPr>
              <w:lastRenderedPageBreak/>
              <w:t>pasākumiem ir pedagogiem un/vai administrācijai/vadībai.</w:t>
            </w:r>
          </w:p>
        </w:tc>
      </w:tr>
      <w:tr w:rsidR="007D72A9" w14:paraId="450F9F11" w14:textId="77777777" w:rsidTr="00DA76D7">
        <w:tc>
          <w:tcPr>
            <w:tcW w:w="1538" w:type="dxa"/>
            <w:gridSpan w:val="2"/>
          </w:tcPr>
          <w:p w14:paraId="76990492" w14:textId="4FF0B36F"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7CFC9E6A" w14:textId="77777777" w:rsidTr="00DA76D7">
        <w:tc>
          <w:tcPr>
            <w:tcW w:w="1538" w:type="dxa"/>
            <w:gridSpan w:val="2"/>
          </w:tcPr>
          <w:p w14:paraId="12EA634A" w14:textId="5B7706DE"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B6106B">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w:t>
            </w:r>
            <w:r>
              <w:rPr>
                <w:rFonts w:ascii="Times New Roman" w:eastAsia="Times New Roman" w:hAnsi="Times New Roman" w:cs="Times New Roman"/>
                <w:bCs/>
                <w:sz w:val="24"/>
                <w:szCs w:val="24"/>
                <w:lang w:eastAsia="lv-LV"/>
              </w:rPr>
              <w:lastRenderedPageBreak/>
              <w:t>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w:t>
            </w:r>
            <w:r>
              <w:rPr>
                <w:rFonts w:ascii="Times New Roman" w:eastAsia="Times New Roman" w:hAnsi="Times New Roman" w:cs="Times New Roman"/>
                <w:bCs/>
                <w:sz w:val="24"/>
                <w:szCs w:val="24"/>
                <w:lang w:eastAsia="lv-LV"/>
              </w:rPr>
              <w:lastRenderedPageBreak/>
              <w:t>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w:t>
            </w:r>
            <w:r>
              <w:rPr>
                <w:rFonts w:ascii="Times New Roman" w:eastAsia="Times New Roman" w:hAnsi="Times New Roman" w:cs="Times New Roman"/>
                <w:bCs/>
                <w:sz w:val="24"/>
                <w:szCs w:val="24"/>
                <w:lang w:eastAsia="lv-LV"/>
              </w:rPr>
              <w:lastRenderedPageBreak/>
              <w:t>(struktūrvienībās/filiālēs).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3E22EDA2" w14:textId="77777777" w:rsidTr="00DA76D7">
        <w:tc>
          <w:tcPr>
            <w:tcW w:w="1538" w:type="dxa"/>
            <w:gridSpan w:val="2"/>
          </w:tcPr>
          <w:p w14:paraId="29E1FC08" w14:textId="7E023FE5" w:rsidR="007D72A9" w:rsidRDefault="004D75E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B6106B">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w:t>
            </w:r>
            <w:r>
              <w:rPr>
                <w:rFonts w:ascii="Times New Roman" w:eastAsia="Times New Roman" w:hAnsi="Times New Roman" w:cs="Times New Roman"/>
                <w:bCs/>
                <w:sz w:val="24"/>
                <w:szCs w:val="24"/>
                <w:lang w:eastAsia="lv-LV"/>
              </w:rPr>
              <w:lastRenderedPageBreak/>
              <w:t xml:space="preserve">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r w:rsidR="00DA76D7" w14:paraId="07593CEA" w14:textId="77777777" w:rsidTr="00DA76D7">
        <w:trPr>
          <w:gridAfter w:val="4"/>
          <w:wAfter w:w="13810" w:type="dxa"/>
        </w:trPr>
        <w:tc>
          <w:tcPr>
            <w:tcW w:w="236" w:type="dxa"/>
            <w:tcBorders>
              <w:top w:val="nil"/>
              <w:left w:val="nil"/>
              <w:bottom w:val="nil"/>
              <w:right w:val="nil"/>
            </w:tcBorders>
          </w:tcPr>
          <w:p w14:paraId="105AD2E4" w14:textId="77777777" w:rsidR="00DA76D7" w:rsidRDefault="00DA76D7">
            <w:pPr>
              <w:rPr>
                <w:rFonts w:ascii="Calibri" w:eastAsia="Calibri" w:hAnsi="Calibri"/>
              </w:rPr>
            </w:pPr>
          </w:p>
        </w:tc>
      </w:tr>
      <w:tr w:rsidR="00DA76D7" w14:paraId="125E2C3B" w14:textId="77777777" w:rsidTr="00DA76D7">
        <w:trPr>
          <w:gridAfter w:val="4"/>
          <w:wAfter w:w="13810" w:type="dxa"/>
        </w:trPr>
        <w:tc>
          <w:tcPr>
            <w:tcW w:w="236" w:type="dxa"/>
            <w:tcBorders>
              <w:top w:val="nil"/>
              <w:left w:val="nil"/>
              <w:bottom w:val="nil"/>
              <w:right w:val="nil"/>
            </w:tcBorders>
          </w:tcPr>
          <w:p w14:paraId="1D604C5C" w14:textId="77777777" w:rsidR="00DA76D7" w:rsidRDefault="00DA76D7">
            <w:pPr>
              <w:rPr>
                <w:rFonts w:ascii="Calibri" w:eastAsia="Calibri" w:hAnsi="Calibri"/>
              </w:rPr>
            </w:pPr>
          </w:p>
        </w:tc>
      </w:tr>
    </w:tbl>
    <w:p w14:paraId="6EA89F40" w14:textId="423DA618" w:rsidR="007D72A9" w:rsidRDefault="007D72A9" w:rsidP="003817EC">
      <w:pPr>
        <w:spacing w:after="0" w:line="240" w:lineRule="auto"/>
        <w:outlineLvl w:val="0"/>
        <w:rPr>
          <w:rFonts w:ascii="Times New Roman" w:eastAsia="Times New Roman" w:hAnsi="Times New Roman" w:cs="Times New Roman"/>
          <w:bCs/>
          <w:sz w:val="32"/>
          <w:szCs w:val="32"/>
          <w:lang w:eastAsia="lv-LV"/>
        </w:rPr>
      </w:pPr>
    </w:p>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8468" w14:textId="77777777" w:rsidR="00775D5D" w:rsidRDefault="00775D5D">
      <w:pPr>
        <w:spacing w:after="0" w:line="240" w:lineRule="auto"/>
      </w:pPr>
      <w:r>
        <w:separator/>
      </w:r>
    </w:p>
  </w:endnote>
  <w:endnote w:type="continuationSeparator" w:id="0">
    <w:p w14:paraId="7BB311A4" w14:textId="77777777" w:rsidR="00775D5D" w:rsidRDefault="0077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78BD" w14:textId="77777777" w:rsidR="000A288F" w:rsidRDefault="000A288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A0B3" w14:textId="67AE984B" w:rsidR="00AF632C" w:rsidRPr="00FB342B" w:rsidRDefault="00FB342B" w:rsidP="00AF632C">
    <w:pPr>
      <w:pStyle w:val="Kjene"/>
      <w:rPr>
        <w:rFonts w:ascii="Times New Roman" w:hAnsi="Times New Roman" w:cs="Times New Roman"/>
        <w:i/>
        <w:iCs/>
        <w:sz w:val="20"/>
        <w:szCs w:val="20"/>
      </w:rPr>
    </w:pPr>
    <w:r w:rsidRPr="00FB342B">
      <w:rPr>
        <w:rFonts w:ascii="Times New Roman" w:hAnsi="Times New Roman" w:cs="Times New Roman"/>
        <w:i/>
        <w:iCs/>
        <w:sz w:val="20"/>
        <w:szCs w:val="20"/>
      </w:rPr>
      <w:t>*</w:t>
    </w:r>
    <w:r w:rsidR="00F24D64" w:rsidRPr="00FB342B">
      <w:rPr>
        <w:rFonts w:ascii="Times New Roman" w:hAnsi="Times New Roman" w:cs="Times New Roman"/>
        <w:i/>
        <w:iCs/>
        <w:sz w:val="20"/>
        <w:szCs w:val="20"/>
      </w:rPr>
      <w:t xml:space="preserve">Izglītības kvalitātes </w:t>
    </w:r>
    <w:r w:rsidR="00AF632C" w:rsidRPr="00FB342B">
      <w:rPr>
        <w:rFonts w:ascii="Times New Roman" w:hAnsi="Times New Roman" w:cs="Times New Roman"/>
        <w:i/>
        <w:iCs/>
        <w:sz w:val="20"/>
        <w:szCs w:val="20"/>
      </w:rPr>
      <w:t>vērtē</w:t>
    </w:r>
    <w:r w:rsidR="000A288F" w:rsidRPr="00FB342B">
      <w:rPr>
        <w:rFonts w:ascii="Times New Roman" w:hAnsi="Times New Roman" w:cs="Times New Roman"/>
        <w:i/>
        <w:iCs/>
        <w:sz w:val="20"/>
        <w:szCs w:val="20"/>
      </w:rPr>
      <w:t xml:space="preserve">juma līmeņu </w:t>
    </w:r>
    <w:r w:rsidR="00AF632C" w:rsidRPr="00FB342B">
      <w:rPr>
        <w:rFonts w:ascii="Times New Roman" w:hAnsi="Times New Roman" w:cs="Times New Roman"/>
        <w:i/>
        <w:iCs/>
        <w:sz w:val="20"/>
        <w:szCs w:val="20"/>
      </w:rPr>
      <w:t>apraksts paredzēts profesionālās ievirzes izglītības iestādēm (sportā)</w:t>
    </w:r>
  </w:p>
  <w:p w14:paraId="08AE7951" w14:textId="47C0E55E" w:rsidR="00AF632C" w:rsidRDefault="00AF632C">
    <w:pPr>
      <w:pStyle w:val="Kjene"/>
    </w:pPr>
  </w:p>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4925" w14:textId="77777777" w:rsidR="00775D5D" w:rsidRDefault="00775D5D">
      <w:pPr>
        <w:rPr>
          <w:sz w:val="12"/>
        </w:rPr>
      </w:pPr>
      <w:r>
        <w:separator/>
      </w:r>
    </w:p>
  </w:footnote>
  <w:footnote w:type="continuationSeparator" w:id="0">
    <w:p w14:paraId="4FD9E334" w14:textId="77777777" w:rsidR="00775D5D" w:rsidRDefault="00775D5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F2B3" w14:textId="77777777" w:rsidR="000A288F" w:rsidRDefault="000A288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2ED1" w14:textId="77777777" w:rsidR="000A288F" w:rsidRDefault="000A288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3323" w14:textId="77777777" w:rsidR="000A288F" w:rsidRDefault="000A288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59A08CA"/>
    <w:multiLevelType w:val="multilevel"/>
    <w:tmpl w:val="B0D2F4D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9" w15:restartNumberingAfterBreak="0">
    <w:nsid w:val="3E870EB7"/>
    <w:multiLevelType w:val="multilevel"/>
    <w:tmpl w:val="9006D7E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3"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4"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6"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9"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20"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3"/>
  </w:num>
  <w:num w:numId="2" w16cid:durableId="775246020">
    <w:abstractNumId w:val="16"/>
  </w:num>
  <w:num w:numId="3" w16cid:durableId="172495531">
    <w:abstractNumId w:val="13"/>
  </w:num>
  <w:num w:numId="4" w16cid:durableId="1617445893">
    <w:abstractNumId w:val="11"/>
  </w:num>
  <w:num w:numId="5" w16cid:durableId="1481461515">
    <w:abstractNumId w:val="8"/>
  </w:num>
  <w:num w:numId="6" w16cid:durableId="1813979578">
    <w:abstractNumId w:val="21"/>
  </w:num>
  <w:num w:numId="7" w16cid:durableId="935556274">
    <w:abstractNumId w:val="6"/>
  </w:num>
  <w:num w:numId="8" w16cid:durableId="700396491">
    <w:abstractNumId w:val="22"/>
  </w:num>
  <w:num w:numId="9" w16cid:durableId="83845683">
    <w:abstractNumId w:val="14"/>
  </w:num>
  <w:num w:numId="10" w16cid:durableId="1315179578">
    <w:abstractNumId w:val="0"/>
  </w:num>
  <w:num w:numId="11" w16cid:durableId="1815901577">
    <w:abstractNumId w:val="1"/>
  </w:num>
  <w:num w:numId="12" w16cid:durableId="50856406">
    <w:abstractNumId w:val="15"/>
  </w:num>
  <w:num w:numId="13" w16cid:durableId="2054621569">
    <w:abstractNumId w:val="18"/>
  </w:num>
  <w:num w:numId="14" w16cid:durableId="1407533778">
    <w:abstractNumId w:val="10"/>
  </w:num>
  <w:num w:numId="15" w16cid:durableId="929891448">
    <w:abstractNumId w:val="12"/>
  </w:num>
  <w:num w:numId="16" w16cid:durableId="339629226">
    <w:abstractNumId w:val="17"/>
  </w:num>
  <w:num w:numId="17" w16cid:durableId="513111158">
    <w:abstractNumId w:val="2"/>
  </w:num>
  <w:num w:numId="18" w16cid:durableId="1453474163">
    <w:abstractNumId w:val="19"/>
  </w:num>
  <w:num w:numId="19" w16cid:durableId="859855028">
    <w:abstractNumId w:val="20"/>
  </w:num>
  <w:num w:numId="20" w16cid:durableId="1030882312">
    <w:abstractNumId w:val="5"/>
  </w:num>
  <w:num w:numId="21" w16cid:durableId="1323387223">
    <w:abstractNumId w:val="4"/>
  </w:num>
  <w:num w:numId="22" w16cid:durableId="1719277936">
    <w:abstractNumId w:val="7"/>
  </w:num>
  <w:num w:numId="23" w16cid:durableId="601230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443F0"/>
    <w:rsid w:val="00062A76"/>
    <w:rsid w:val="00067308"/>
    <w:rsid w:val="00074A94"/>
    <w:rsid w:val="000A1F29"/>
    <w:rsid w:val="000A288F"/>
    <w:rsid w:val="000A2E61"/>
    <w:rsid w:val="000A4630"/>
    <w:rsid w:val="000E734C"/>
    <w:rsid w:val="000F1414"/>
    <w:rsid w:val="001147F5"/>
    <w:rsid w:val="00132E1A"/>
    <w:rsid w:val="00134690"/>
    <w:rsid w:val="00172ECD"/>
    <w:rsid w:val="001736B7"/>
    <w:rsid w:val="00174721"/>
    <w:rsid w:val="00176DDD"/>
    <w:rsid w:val="001C7466"/>
    <w:rsid w:val="001D2C62"/>
    <w:rsid w:val="001E7332"/>
    <w:rsid w:val="001F0819"/>
    <w:rsid w:val="00207316"/>
    <w:rsid w:val="00261EBC"/>
    <w:rsid w:val="00273CB1"/>
    <w:rsid w:val="002821EB"/>
    <w:rsid w:val="00292CB1"/>
    <w:rsid w:val="002A25AC"/>
    <w:rsid w:val="002A4436"/>
    <w:rsid w:val="002B0502"/>
    <w:rsid w:val="002B452A"/>
    <w:rsid w:val="002C2B7E"/>
    <w:rsid w:val="00300BE8"/>
    <w:rsid w:val="003102DA"/>
    <w:rsid w:val="003115BA"/>
    <w:rsid w:val="00311E0F"/>
    <w:rsid w:val="003312F8"/>
    <w:rsid w:val="003465DF"/>
    <w:rsid w:val="00352663"/>
    <w:rsid w:val="0036304F"/>
    <w:rsid w:val="0037417E"/>
    <w:rsid w:val="003817EC"/>
    <w:rsid w:val="00381F6B"/>
    <w:rsid w:val="003B04EF"/>
    <w:rsid w:val="003B3326"/>
    <w:rsid w:val="003C25F4"/>
    <w:rsid w:val="003C2BC8"/>
    <w:rsid w:val="003C599C"/>
    <w:rsid w:val="003F260D"/>
    <w:rsid w:val="003F3914"/>
    <w:rsid w:val="00417013"/>
    <w:rsid w:val="004532B2"/>
    <w:rsid w:val="00470FFB"/>
    <w:rsid w:val="0048278A"/>
    <w:rsid w:val="00493EA3"/>
    <w:rsid w:val="004970FB"/>
    <w:rsid w:val="004B1F99"/>
    <w:rsid w:val="004D3441"/>
    <w:rsid w:val="004D75E8"/>
    <w:rsid w:val="004E4B37"/>
    <w:rsid w:val="004F479C"/>
    <w:rsid w:val="004F6462"/>
    <w:rsid w:val="0051560D"/>
    <w:rsid w:val="00534542"/>
    <w:rsid w:val="00541DD4"/>
    <w:rsid w:val="00563D69"/>
    <w:rsid w:val="005B4C56"/>
    <w:rsid w:val="005C13B1"/>
    <w:rsid w:val="005C22C1"/>
    <w:rsid w:val="005D48AE"/>
    <w:rsid w:val="005E422E"/>
    <w:rsid w:val="005F2A6F"/>
    <w:rsid w:val="00602761"/>
    <w:rsid w:val="0060621A"/>
    <w:rsid w:val="00614285"/>
    <w:rsid w:val="00614A19"/>
    <w:rsid w:val="00616BA6"/>
    <w:rsid w:val="006317F1"/>
    <w:rsid w:val="0063448E"/>
    <w:rsid w:val="00653341"/>
    <w:rsid w:val="0066772B"/>
    <w:rsid w:val="0068699F"/>
    <w:rsid w:val="006940D1"/>
    <w:rsid w:val="00696DCE"/>
    <w:rsid w:val="006C546B"/>
    <w:rsid w:val="00703113"/>
    <w:rsid w:val="00715BF0"/>
    <w:rsid w:val="00732316"/>
    <w:rsid w:val="00732442"/>
    <w:rsid w:val="007443E3"/>
    <w:rsid w:val="007540BB"/>
    <w:rsid w:val="00771F81"/>
    <w:rsid w:val="00775D5D"/>
    <w:rsid w:val="00796940"/>
    <w:rsid w:val="00796C1B"/>
    <w:rsid w:val="007A0A0C"/>
    <w:rsid w:val="007D0CEE"/>
    <w:rsid w:val="007D72A9"/>
    <w:rsid w:val="007F2D1C"/>
    <w:rsid w:val="007F5DD3"/>
    <w:rsid w:val="00816707"/>
    <w:rsid w:val="0088450C"/>
    <w:rsid w:val="008954AC"/>
    <w:rsid w:val="008A1660"/>
    <w:rsid w:val="008A491F"/>
    <w:rsid w:val="008A5047"/>
    <w:rsid w:val="008D0A77"/>
    <w:rsid w:val="008D61B9"/>
    <w:rsid w:val="008D61E0"/>
    <w:rsid w:val="008E1F4B"/>
    <w:rsid w:val="009010DA"/>
    <w:rsid w:val="00917139"/>
    <w:rsid w:val="00931A16"/>
    <w:rsid w:val="00961446"/>
    <w:rsid w:val="0096173B"/>
    <w:rsid w:val="00975B66"/>
    <w:rsid w:val="00976CAA"/>
    <w:rsid w:val="00993CC0"/>
    <w:rsid w:val="009A5514"/>
    <w:rsid w:val="009D2D79"/>
    <w:rsid w:val="00A02C3C"/>
    <w:rsid w:val="00A2186F"/>
    <w:rsid w:val="00A27CB4"/>
    <w:rsid w:val="00A3639D"/>
    <w:rsid w:val="00A66B98"/>
    <w:rsid w:val="00AB32F4"/>
    <w:rsid w:val="00AB5320"/>
    <w:rsid w:val="00AE5C66"/>
    <w:rsid w:val="00AF2CD8"/>
    <w:rsid w:val="00AF3316"/>
    <w:rsid w:val="00AF4C33"/>
    <w:rsid w:val="00AF62FE"/>
    <w:rsid w:val="00AF632C"/>
    <w:rsid w:val="00B0678B"/>
    <w:rsid w:val="00B11196"/>
    <w:rsid w:val="00B163DB"/>
    <w:rsid w:val="00B6106B"/>
    <w:rsid w:val="00B613C0"/>
    <w:rsid w:val="00B76195"/>
    <w:rsid w:val="00B9203C"/>
    <w:rsid w:val="00BB183F"/>
    <w:rsid w:val="00BB50BC"/>
    <w:rsid w:val="00BB7BEF"/>
    <w:rsid w:val="00C15F7A"/>
    <w:rsid w:val="00C23C75"/>
    <w:rsid w:val="00C26251"/>
    <w:rsid w:val="00C31D9B"/>
    <w:rsid w:val="00C66ABD"/>
    <w:rsid w:val="00CA1257"/>
    <w:rsid w:val="00CB544E"/>
    <w:rsid w:val="00CB6025"/>
    <w:rsid w:val="00D3276F"/>
    <w:rsid w:val="00D33394"/>
    <w:rsid w:val="00D35F0E"/>
    <w:rsid w:val="00D87956"/>
    <w:rsid w:val="00D921DA"/>
    <w:rsid w:val="00D96B1C"/>
    <w:rsid w:val="00DA76D7"/>
    <w:rsid w:val="00DC179F"/>
    <w:rsid w:val="00DC3056"/>
    <w:rsid w:val="00DE1072"/>
    <w:rsid w:val="00E004D5"/>
    <w:rsid w:val="00E03E38"/>
    <w:rsid w:val="00E15FEC"/>
    <w:rsid w:val="00E162D0"/>
    <w:rsid w:val="00E21265"/>
    <w:rsid w:val="00E2718A"/>
    <w:rsid w:val="00E3416A"/>
    <w:rsid w:val="00E54CE6"/>
    <w:rsid w:val="00E624CE"/>
    <w:rsid w:val="00E6256D"/>
    <w:rsid w:val="00E70471"/>
    <w:rsid w:val="00EA1E10"/>
    <w:rsid w:val="00EC1ACC"/>
    <w:rsid w:val="00F022D2"/>
    <w:rsid w:val="00F21B9C"/>
    <w:rsid w:val="00F24D64"/>
    <w:rsid w:val="00F419A7"/>
    <w:rsid w:val="00F431B1"/>
    <w:rsid w:val="00F437BB"/>
    <w:rsid w:val="00F72792"/>
    <w:rsid w:val="00F91D06"/>
    <w:rsid w:val="00F92B7B"/>
    <w:rsid w:val="00F95936"/>
    <w:rsid w:val="00F96C7D"/>
    <w:rsid w:val="00FA51F3"/>
    <w:rsid w:val="00FA632F"/>
    <w:rsid w:val="00FA71A0"/>
    <w:rsid w:val="00FB342B"/>
    <w:rsid w:val="00FC7644"/>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8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6034</Words>
  <Characters>34400</Characters>
  <Application>Microsoft Office Word</Application>
  <DocSecurity>0</DocSecurity>
  <Lines>286</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2022-10-20T15:16:00Z</dcterms:created>
  <dcterms:modified xsi:type="dcterms:W3CDTF">2022-10-20T15:16:00Z</dcterms:modified>
  <dc:language>lv-LV</dc:language>
</cp:coreProperties>
</file>