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0566" w14:textId="77777777" w:rsidR="00816707" w:rsidRDefault="00816707" w:rsidP="00816707">
      <w:pPr>
        <w:spacing w:after="0" w:line="240" w:lineRule="auto"/>
        <w:jc w:val="both"/>
        <w:rPr>
          <w:rFonts w:ascii="Times New Roman" w:eastAsia="Times New Roman" w:hAnsi="Times New Roman" w:cs="Times New Roman"/>
          <w:sz w:val="24"/>
          <w:szCs w:val="24"/>
          <w:lang w:eastAsia="lv-LV"/>
        </w:rPr>
      </w:pPr>
    </w:p>
    <w:p w14:paraId="3A50D39A" w14:textId="77777777" w:rsidR="00816707" w:rsidRDefault="00816707" w:rsidP="00816707">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 xml:space="preserve">Izglītības kvalitātes vērtējuma līmeņu apraksti </w:t>
      </w:r>
      <w:proofErr w:type="spellStart"/>
      <w:r>
        <w:rPr>
          <w:rFonts w:ascii="Times New Roman" w:eastAsia="Times New Roman" w:hAnsi="Times New Roman" w:cs="Times New Roman"/>
          <w:b/>
          <w:sz w:val="32"/>
          <w:szCs w:val="32"/>
          <w:lang w:eastAsia="lv-LV"/>
        </w:rPr>
        <w:t>pašvērtēšanai</w:t>
      </w:r>
      <w:proofErr w:type="spellEnd"/>
      <w:r>
        <w:rPr>
          <w:rFonts w:ascii="Times New Roman" w:eastAsia="Times New Roman" w:hAnsi="Times New Roman" w:cs="Times New Roman"/>
          <w:b/>
          <w:sz w:val="32"/>
          <w:szCs w:val="32"/>
          <w:lang w:eastAsia="lv-LV"/>
        </w:rPr>
        <w:t xml:space="preserve"> </w:t>
      </w:r>
    </w:p>
    <w:p w14:paraId="49D2819A" w14:textId="392A09C0" w:rsidR="00816707" w:rsidRDefault="00816707" w:rsidP="00816707">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p</w:t>
      </w:r>
      <w:r w:rsidRPr="00816707">
        <w:rPr>
          <w:rFonts w:ascii="Times New Roman" w:eastAsia="Times New Roman" w:hAnsi="Times New Roman" w:cs="Times New Roman"/>
          <w:b/>
          <w:sz w:val="32"/>
          <w:szCs w:val="32"/>
          <w:lang w:eastAsia="lv-LV"/>
        </w:rPr>
        <w:t>rofesionālās ievirzes izglītības iestādēm sportā</w:t>
      </w:r>
      <w:r>
        <w:rPr>
          <w:rFonts w:ascii="Times New Roman" w:eastAsia="Times New Roman" w:hAnsi="Times New Roman" w:cs="Times New Roman"/>
          <w:b/>
          <w:sz w:val="32"/>
          <w:szCs w:val="32"/>
          <w:lang w:eastAsia="lv-LV"/>
        </w:rPr>
        <w:t xml:space="preserve"> 2022./2023.māc.g.</w:t>
      </w:r>
      <w:r w:rsidR="00FB342B">
        <w:rPr>
          <w:rFonts w:ascii="Times New Roman" w:eastAsia="Times New Roman" w:hAnsi="Times New Roman" w:cs="Times New Roman"/>
          <w:b/>
          <w:sz w:val="32"/>
          <w:szCs w:val="32"/>
          <w:lang w:eastAsia="lv-LV"/>
        </w:rPr>
        <w:t>*</w:t>
      </w:r>
    </w:p>
    <w:p w14:paraId="6328D2C4" w14:textId="77777777" w:rsidR="007D72A9" w:rsidRDefault="007D72A9">
      <w:pPr>
        <w:spacing w:after="0" w:line="240" w:lineRule="auto"/>
        <w:jc w:val="center"/>
        <w:outlineLvl w:val="0"/>
        <w:rPr>
          <w:rFonts w:ascii="Times New Roman" w:eastAsia="Times New Roman" w:hAnsi="Times New Roman" w:cs="Times New Roman"/>
          <w:bCs/>
          <w:sz w:val="32"/>
          <w:szCs w:val="32"/>
          <w:lang w:eastAsia="lv-LV"/>
        </w:rPr>
      </w:pPr>
    </w:p>
    <w:p w14:paraId="5403CC2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30BCF8AC" w14:textId="787609F6" w:rsidR="007D72A9" w:rsidRDefault="00B11196">
      <w:pPr>
        <w:spacing w:after="0" w:line="240" w:lineRule="auto"/>
        <w:jc w:val="both"/>
        <w:outlineLvl w:val="0"/>
        <w:rPr>
          <w:rFonts w:ascii="Times New Roman" w:eastAsia="Times New Roman" w:hAnsi="Times New Roman" w:cs="Times New Roman"/>
          <w:b/>
          <w:sz w:val="24"/>
          <w:szCs w:val="24"/>
          <w:lang w:eastAsia="lv-LV"/>
        </w:rPr>
      </w:pPr>
      <w:r w:rsidRPr="00BB50BC">
        <w:rPr>
          <w:rFonts w:ascii="Times New Roman" w:eastAsia="Times New Roman" w:hAnsi="Times New Roman" w:cs="Times New Roman"/>
          <w:b/>
          <w:sz w:val="24"/>
          <w:szCs w:val="24"/>
          <w:lang w:eastAsia="lv-LV"/>
        </w:rPr>
        <w:t>1.</w:t>
      </w:r>
      <w:r w:rsidR="00A66B98">
        <w:rPr>
          <w:rFonts w:ascii="Times New Roman" w:eastAsia="Times New Roman" w:hAnsi="Times New Roman" w:cs="Times New Roman"/>
          <w:b/>
          <w:sz w:val="24"/>
          <w:szCs w:val="24"/>
          <w:lang w:eastAsia="lv-LV"/>
        </w:rPr>
        <w:t>3</w:t>
      </w:r>
      <w:r w:rsidRPr="00BB50BC">
        <w:rPr>
          <w:rFonts w:ascii="Times New Roman" w:eastAsia="Times New Roman" w:hAnsi="Times New Roman" w:cs="Times New Roman"/>
          <w:b/>
          <w:sz w:val="24"/>
          <w:szCs w:val="24"/>
          <w:lang w:eastAsia="lv-LV"/>
        </w:rPr>
        <w:t xml:space="preserve">. </w:t>
      </w:r>
      <w:r w:rsidR="007443E3" w:rsidRPr="00BB50BC">
        <w:rPr>
          <w:rFonts w:ascii="Times New Roman" w:eastAsia="Times New Roman" w:hAnsi="Times New Roman" w:cs="Times New Roman"/>
          <w:b/>
          <w:sz w:val="24"/>
          <w:szCs w:val="24"/>
          <w:lang w:eastAsia="lv-LV"/>
        </w:rPr>
        <w:t>Kritērijs – IZGLĪTĪBAS TURPINĀŠANA UN NODARBINĀTĪBA</w:t>
      </w:r>
    </w:p>
    <w:p w14:paraId="5C9CB0E7" w14:textId="77777777" w:rsidR="007D72A9" w:rsidRDefault="007D72A9">
      <w:pPr>
        <w:spacing w:after="0" w:line="240" w:lineRule="auto"/>
        <w:jc w:val="both"/>
        <w:outlineLvl w:val="0"/>
        <w:rPr>
          <w:rFonts w:ascii="Times New Roman" w:eastAsia="Times New Roman" w:hAnsi="Times New Roman" w:cs="Times New Roman"/>
          <w:b/>
          <w:sz w:val="24"/>
          <w:szCs w:val="24"/>
          <w:lang w:eastAsia="lv-LV"/>
        </w:rPr>
      </w:pPr>
    </w:p>
    <w:p w14:paraId="023B86A2" w14:textId="552579C1"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“Izglītības turpināšana un nodarbinātība” ietvaros tiek izvērtēta karjeras izglītības kvalitāte, informācijas un datu ieguve par absolventu viedokli par mācībām un īstenotās izglītības programmas kvalitāti</w:t>
      </w:r>
      <w:r w:rsidR="002C2B7E">
        <w:rPr>
          <w:rFonts w:ascii="Times New Roman" w:eastAsia="Times New Roman" w:hAnsi="Times New Roman" w:cs="Times New Roman"/>
          <w:bCs/>
          <w:sz w:val="24"/>
          <w:szCs w:val="24"/>
          <w:lang w:eastAsia="lv-LV"/>
        </w:rPr>
        <w:t>, izglītības iestādes darbs ar izglītojamiem, kam ir zemi mācību sasniegumi</w:t>
      </w:r>
      <w:r>
        <w:rPr>
          <w:rFonts w:ascii="Times New Roman" w:eastAsia="Times New Roman" w:hAnsi="Times New Roman" w:cs="Times New Roman"/>
          <w:bCs/>
          <w:sz w:val="24"/>
          <w:szCs w:val="24"/>
          <w:lang w:eastAsia="lv-LV"/>
        </w:rPr>
        <w:t xml:space="preserve">. </w:t>
      </w:r>
    </w:p>
    <w:p w14:paraId="40A899DE"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1F23A927" w14:textId="76F772EF"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4A2DE39B" w14:textId="77777777" w:rsidR="00A66B98" w:rsidRDefault="007443E3" w:rsidP="00A66B98">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A66B98">
        <w:rPr>
          <w:rFonts w:ascii="Times New Roman" w:eastAsia="Times New Roman" w:hAnsi="Times New Roman" w:cs="Times New Roman"/>
          <w:bCs/>
          <w:sz w:val="24"/>
          <w:szCs w:val="24"/>
          <w:lang w:eastAsia="lv-LV"/>
        </w:rPr>
        <w:t>Izglītības iestādes darbs ar izglītojamiem, kam ir zemi mācību sasniegumi;</w:t>
      </w:r>
    </w:p>
    <w:p w14:paraId="17284949" w14:textId="77777777" w:rsidR="00A66B98" w:rsidRPr="00A66B98" w:rsidRDefault="007443E3" w:rsidP="00A66B98">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A66B98">
        <w:rPr>
          <w:rFonts w:ascii="Times New Roman" w:hAnsi="Times New Roman" w:cs="Times New Roman"/>
          <w:sz w:val="24"/>
          <w:szCs w:val="24"/>
        </w:rPr>
        <w:t>Izglītības iestādes rīcība, izvērtējot absolventu un/vai viņu vecāku sniegto informāciju par nepieciešamo rīcību izglītības procesa pilnveidei;</w:t>
      </w:r>
    </w:p>
    <w:p w14:paraId="73DA34C2" w14:textId="77777777" w:rsidR="00A66B98" w:rsidRDefault="007443E3" w:rsidP="00A66B98">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A66B98">
        <w:rPr>
          <w:rFonts w:ascii="Times New Roman" w:eastAsia="Times New Roman" w:hAnsi="Times New Roman" w:cs="Times New Roman"/>
          <w:bCs/>
          <w:sz w:val="24"/>
          <w:szCs w:val="24"/>
          <w:lang w:eastAsia="lv-LV"/>
        </w:rPr>
        <w:t>Izglītības iestādes izglītojamo iemesli izglītības iestādes maiņai un mācību pārtraukšanai;</w:t>
      </w:r>
      <w:bookmarkStart w:id="0" w:name="_Hlk98930641"/>
    </w:p>
    <w:p w14:paraId="61CEB6B2" w14:textId="77777777" w:rsidR="00A66B98" w:rsidRPr="00A66B98" w:rsidRDefault="007443E3" w:rsidP="00A66B98">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A66B98">
        <w:rPr>
          <w:rFonts w:ascii="Times New Roman" w:hAnsi="Times New Roman" w:cs="Times New Roman"/>
          <w:sz w:val="24"/>
          <w:szCs w:val="24"/>
        </w:rPr>
        <w:t>Izglītības iestādes īstenotā karjeras izglītība (tiek izvērtēts profesionālās izglītības iestādēs, profesionālās ievirzes izglītības iestādēs, profesionālās tālākizglītības un profesionālās pilnveides izglītības iestādēs);</w:t>
      </w:r>
      <w:bookmarkEnd w:id="0"/>
    </w:p>
    <w:p w14:paraId="5330B1B0" w14:textId="53A7A76C" w:rsidR="007D72A9" w:rsidRPr="00A66B98" w:rsidRDefault="00134690" w:rsidP="00A66B98">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A66B98">
        <w:rPr>
          <w:rFonts w:ascii="Times New Roman" w:hAnsi="Times New Roman"/>
          <w:sz w:val="24"/>
          <w:szCs w:val="24"/>
        </w:rPr>
        <w:t>Izglītības iestādes īstenotais monitorings par absolventu turpmākajām mācībām/studijām un/vai profesionālo darbību (tiek izvērtēts vispārējās un profesionālās izglītības iestādēs, izņemot profesionālās pilnveides izglītības programmas un pirmsskolas izglītības iestādēs).</w:t>
      </w:r>
    </w:p>
    <w:p w14:paraId="07BF915C" w14:textId="77777777" w:rsidR="004970FB" w:rsidRPr="00134690" w:rsidRDefault="004970FB" w:rsidP="004970FB">
      <w:pPr>
        <w:pStyle w:val="Sarakstarindkopa"/>
        <w:spacing w:after="0" w:line="240" w:lineRule="auto"/>
        <w:ind w:left="1134"/>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3"/>
        <w:gridCol w:w="3990"/>
        <w:gridCol w:w="3989"/>
        <w:gridCol w:w="3990"/>
      </w:tblGrid>
      <w:tr w:rsidR="007D72A9" w14:paraId="51BDA0B9" w14:textId="77777777" w:rsidTr="003C599C">
        <w:tc>
          <w:tcPr>
            <w:tcW w:w="1553" w:type="dxa"/>
          </w:tcPr>
          <w:p w14:paraId="0E1D9D5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21298B0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90" w:type="dxa"/>
          </w:tcPr>
          <w:p w14:paraId="51C7CB35"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8CBA28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3989" w:type="dxa"/>
          </w:tcPr>
          <w:p w14:paraId="3726A23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02A8A12"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90" w:type="dxa"/>
          </w:tcPr>
          <w:p w14:paraId="5AFFD02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2E1F696"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0A63E278" w14:textId="77777777" w:rsidTr="003C599C">
        <w:tc>
          <w:tcPr>
            <w:tcW w:w="1553" w:type="dxa"/>
          </w:tcPr>
          <w:p w14:paraId="72CBB6F1" w14:textId="08DF70F8" w:rsidR="007D72A9" w:rsidRPr="00C66ABD" w:rsidRDefault="007443E3">
            <w:pPr>
              <w:spacing w:after="0" w:line="240" w:lineRule="auto"/>
              <w:jc w:val="center"/>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1</w:t>
            </w:r>
            <w:r w:rsidR="00AF3316">
              <w:rPr>
                <w:rFonts w:ascii="Times New Roman" w:eastAsia="Times New Roman" w:hAnsi="Times New Roman" w:cs="Times New Roman"/>
                <w:bCs/>
                <w:sz w:val="24"/>
                <w:szCs w:val="24"/>
                <w:lang w:eastAsia="lv-LV"/>
              </w:rPr>
              <w:t>.</w:t>
            </w:r>
            <w:r w:rsidR="00A66B98">
              <w:rPr>
                <w:rFonts w:ascii="Times New Roman" w:eastAsia="Times New Roman" w:hAnsi="Times New Roman" w:cs="Times New Roman"/>
                <w:bCs/>
                <w:sz w:val="24"/>
                <w:szCs w:val="24"/>
                <w:lang w:eastAsia="lv-LV"/>
              </w:rPr>
              <w:t>3</w:t>
            </w:r>
            <w:r w:rsidR="00AF3316">
              <w:rPr>
                <w:rFonts w:ascii="Times New Roman" w:eastAsia="Times New Roman" w:hAnsi="Times New Roman" w:cs="Times New Roman"/>
                <w:bCs/>
                <w:sz w:val="24"/>
                <w:szCs w:val="24"/>
                <w:lang w:eastAsia="lv-LV"/>
              </w:rPr>
              <w:t>.1.</w:t>
            </w:r>
          </w:p>
        </w:tc>
        <w:tc>
          <w:tcPr>
            <w:tcW w:w="3990" w:type="dxa"/>
          </w:tcPr>
          <w:p w14:paraId="0C361E4F" w14:textId="1423A1C4" w:rsidR="007D72A9" w:rsidRPr="00C66ABD"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 xml:space="preserve">Izglītības iestādē tiek veikts mērķtiecīgs darbs ar izglītojamiem, kam ir zemi mācību sasniegumi, lai nodrošinātu viņu izglītības turpināšanu, sadarbojoties visiem iesaistītajiem (piemēram, pedagogs, izglītojamais, vecāki, atbalsta personāls u.tml.). Izglītības iestādē nav izglītojamo, kuri atstāti uz otru gadu tajā pašā klasē vai arī skaits ir neliels, tam nav sistēmiska rakstura, tas neatkārtojas katru gadu. Izglītības iestāde veic daudzveidīgu </w:t>
            </w:r>
            <w:r w:rsidRPr="00C66ABD">
              <w:rPr>
                <w:rFonts w:ascii="Times New Roman" w:eastAsia="Times New Roman" w:hAnsi="Times New Roman" w:cs="Times New Roman"/>
                <w:bCs/>
                <w:sz w:val="24"/>
                <w:szCs w:val="24"/>
                <w:lang w:eastAsia="lv-LV"/>
              </w:rPr>
              <w:lastRenderedPageBreak/>
              <w:t xml:space="preserve">preventīvu darbu, lai novērstu </w:t>
            </w:r>
            <w:proofErr w:type="spellStart"/>
            <w:r w:rsidRPr="00C66ABD">
              <w:rPr>
                <w:rFonts w:ascii="Times New Roman" w:eastAsia="Times New Roman" w:hAnsi="Times New Roman" w:cs="Times New Roman"/>
                <w:bCs/>
                <w:sz w:val="24"/>
                <w:szCs w:val="24"/>
                <w:lang w:eastAsia="lv-LV"/>
              </w:rPr>
              <w:t>otrgad</w:t>
            </w:r>
            <w:r w:rsidR="00C66ABD" w:rsidRPr="00C66ABD">
              <w:rPr>
                <w:rFonts w:ascii="Times New Roman" w:eastAsia="Times New Roman" w:hAnsi="Times New Roman" w:cs="Times New Roman"/>
                <w:bCs/>
                <w:sz w:val="24"/>
                <w:szCs w:val="24"/>
                <w:lang w:eastAsia="lv-LV"/>
              </w:rPr>
              <w:t>niecības</w:t>
            </w:r>
            <w:proofErr w:type="spellEnd"/>
            <w:r w:rsidRPr="00C66ABD">
              <w:rPr>
                <w:rFonts w:ascii="Times New Roman" w:eastAsia="Times New Roman" w:hAnsi="Times New Roman" w:cs="Times New Roman"/>
                <w:bCs/>
                <w:sz w:val="24"/>
                <w:szCs w:val="24"/>
                <w:lang w:eastAsia="lv-LV"/>
              </w:rPr>
              <w:t xml:space="preserve"> iespējamību. </w:t>
            </w:r>
          </w:p>
        </w:tc>
        <w:tc>
          <w:tcPr>
            <w:tcW w:w="3989" w:type="dxa"/>
          </w:tcPr>
          <w:p w14:paraId="13357FC3" w14:textId="044389BF" w:rsidR="007D72A9" w:rsidRPr="00C66ABD"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lastRenderedPageBreak/>
              <w:t xml:space="preserve">Izglītības iestādē tiek veikts darbs ar izglītojamiem, kam ir zemi mācību sasniegumi, lai nodrošinātu viņu izglītības turpināšanu, atbildību pamatā uzticot pedagogam. Aktivitātes, kuras veic izglītības iestāde, lai novērstu izglītojamo palikšanu uz otru mācību gadu, ne vienmēr ir sekmīgas vai atsevišķos gadījumos bijušas novēlotas, ko apliecina fakts, ka laiku pa laikam neliels skaits izglītojamo paliek </w:t>
            </w:r>
            <w:r w:rsidRPr="00C66ABD">
              <w:rPr>
                <w:rFonts w:ascii="Times New Roman" w:eastAsia="Times New Roman" w:hAnsi="Times New Roman" w:cs="Times New Roman"/>
                <w:bCs/>
                <w:sz w:val="24"/>
                <w:szCs w:val="24"/>
                <w:lang w:eastAsia="lv-LV"/>
              </w:rPr>
              <w:lastRenderedPageBreak/>
              <w:t>mācīties tajā pašā klasē/grupā uz otru gadu.</w:t>
            </w:r>
          </w:p>
        </w:tc>
        <w:tc>
          <w:tcPr>
            <w:tcW w:w="3990" w:type="dxa"/>
          </w:tcPr>
          <w:p w14:paraId="0673252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lastRenderedPageBreak/>
              <w:t xml:space="preserve">Izglītības iestādē formāli tiek veikts darbs ar izglītojamiem, kam ir zemi mācību sasniegumi, lai nodrošinātu viņu izglītības turpināšanu. Izglītības iestāde ir veikusi darbības, kuru mērķis ir novērst izglītojamo palikšanu uz otru mācību gadu (piemēram, nodrošinot iespēju apmeklēt konsultācijas), tomēr katru gadu ir noteikts skaits izglītojamo, kuri turpina mācības atkārtoti tajā pašā klasē/grupā. Izglītības iestāde nespēj rast </w:t>
            </w:r>
            <w:r w:rsidRPr="00C66ABD">
              <w:rPr>
                <w:rFonts w:ascii="Times New Roman" w:eastAsia="Times New Roman" w:hAnsi="Times New Roman" w:cs="Times New Roman"/>
                <w:bCs/>
                <w:sz w:val="24"/>
                <w:szCs w:val="24"/>
                <w:lang w:eastAsia="lv-LV"/>
              </w:rPr>
              <w:lastRenderedPageBreak/>
              <w:t>veiksmīgus sistēmiskus risinājumus, lai novērstu otrgadību, kas atkārtojas gadu no gada.</w:t>
            </w:r>
          </w:p>
        </w:tc>
      </w:tr>
      <w:tr w:rsidR="007D72A9" w14:paraId="332CC41B" w14:textId="77777777" w:rsidTr="003C599C">
        <w:tc>
          <w:tcPr>
            <w:tcW w:w="1553" w:type="dxa"/>
          </w:tcPr>
          <w:p w14:paraId="34F3BEA8" w14:textId="6066691F"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w:t>
            </w:r>
            <w:r w:rsidR="00A66B98">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w:t>
            </w:r>
          </w:p>
        </w:tc>
        <w:tc>
          <w:tcPr>
            <w:tcW w:w="3990" w:type="dxa"/>
          </w:tcPr>
          <w:p w14:paraId="05E5FB3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mācību noslēgumā un/vai izglītojamiem mainot izglītības iestādi, izzina izglītojamo, absolventu un/vai viņu vecāku vērtējumu par izglītības procesu, izvērtē iegūto informāciju un nepieciešamības gadījumā pilnveido savu darbību atbilstoši saņemtajai atgriezeniskajai saitei.</w:t>
            </w:r>
          </w:p>
        </w:tc>
        <w:tc>
          <w:tcPr>
            <w:tcW w:w="3989" w:type="dxa"/>
          </w:tcPr>
          <w:p w14:paraId="62E2373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mācību noslēgumā izzina absolventu un/vai viņu vecāku vērtējumu par mācībām, izvērtē iegūto informāciju un nepieciešamības gadījumā pilnveido savu darbību atbilstoši saņemtajai atgriezeniskajai saitei.</w:t>
            </w:r>
          </w:p>
        </w:tc>
        <w:tc>
          <w:tcPr>
            <w:tcW w:w="3990" w:type="dxa"/>
          </w:tcPr>
          <w:p w14:paraId="1B6CACC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mācību noslēgumā izzina absolventu un/vai viņu vecāku vērtējumu par mācībām, izvērtē vai daļēji izvērtē iegūto informāciju, bet turpina strādāt ar tiem pašiem trūkumiem, uz kuriem norāda absolventi un/vai viņu vecāki.</w:t>
            </w:r>
          </w:p>
        </w:tc>
      </w:tr>
      <w:tr w:rsidR="007D72A9" w14:paraId="43782C62" w14:textId="77777777" w:rsidTr="003C599C">
        <w:tc>
          <w:tcPr>
            <w:tcW w:w="1553" w:type="dxa"/>
          </w:tcPr>
          <w:p w14:paraId="576BFEAC" w14:textId="310D1340"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A66B98">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3990" w:type="dxa"/>
          </w:tcPr>
          <w:p w14:paraId="6515F588" w14:textId="344B5F4F"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nav novērojama sistēmiska izglītojamo mācību pārtraukšana pirmā mācību gada laikā pēc mācību uzsākšanas un turpmākajos gados, bet eksistē atsevišķi gadījumi izglītības iestādes maiņai dažādu objektīvu iemeslu dēļ (piemēram, dzīvesvietas maiņa u.tml.).</w:t>
            </w:r>
          </w:p>
        </w:tc>
        <w:tc>
          <w:tcPr>
            <w:tcW w:w="3989" w:type="dxa"/>
          </w:tcPr>
          <w:p w14:paraId="1679559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vērojama minimāla izglītojamo mācību pārtraukšana pirmā mācību gada laikā pēc mācību uzsākšanas. Arī turpmākajos gados mācību pārtraukšana ir neliela, un tā nav saistīta ar izglītības iestādes darba kvalitāti, bet ar atsevišķiem gadījumiem, kuri norāda uz pamatotiem iemesliem izglītības iestādes maiņai (piemēram, dzīvesvietas maiņa u.tml.) vai arī vecāku vai izglītojamā izvēli turpināt izglītības ieguvi cita veida izglītības iestādē subjektīvu vai objektīvu iemeslu dēļ (piemēram, neatbilstošas profesijas izvēle, izglītības iestādes specializācija vai plašākas iespējas izglītības ieguvei, bezmaksas transports u.tml.).</w:t>
            </w:r>
          </w:p>
        </w:tc>
        <w:tc>
          <w:tcPr>
            <w:tcW w:w="3990" w:type="dxa"/>
          </w:tcPr>
          <w:p w14:paraId="47D4A2D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regulāri vērojama izglītojamo mācību pārtraukšana pirmā mācību gada laikā pēc mācību uzsākšanas, ko izglītības iestāde uzskata par pašsaprotamu un tai nav pierādījumu, ka tas nav saistīts ar izglītības iestādes darba kvalitāti. Izglītības iestāde neizzina izglītojamo un viņu vecāku iemeslus izglītības iestādes maiņai.</w:t>
            </w:r>
          </w:p>
        </w:tc>
      </w:tr>
      <w:tr w:rsidR="007D72A9" w14:paraId="6F08754C" w14:textId="77777777" w:rsidTr="003C599C">
        <w:tc>
          <w:tcPr>
            <w:tcW w:w="1553" w:type="dxa"/>
          </w:tcPr>
          <w:p w14:paraId="1BF987EB" w14:textId="1BE117B5" w:rsidR="007D72A9" w:rsidRDefault="00292CB1">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A66B98">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BB50BC">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3990" w:type="dxa"/>
          </w:tcPr>
          <w:p w14:paraId="4EDFF77F" w14:textId="77777777" w:rsidR="007D72A9" w:rsidRDefault="007443E3">
            <w:pPr>
              <w:shd w:val="clear" w:color="auto" w:fill="FFFFFF" w:themeFill="background1"/>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Izglītības iestāde mērķtiecīgi, regulāri un sistēmiski rosina un atbalsta izglītojamos pieņemt apzinātus lēmumus par izglītības turpināšanu un nodarbinātību. Izglītības programma </w:t>
            </w:r>
            <w:r>
              <w:rPr>
                <w:rFonts w:ascii="Times New Roman" w:eastAsia="Times New Roman" w:hAnsi="Times New Roman" w:cs="Times New Roman"/>
                <w:bCs/>
                <w:sz w:val="24"/>
                <w:szCs w:val="24"/>
                <w:lang w:eastAsia="lv-LV"/>
              </w:rPr>
              <w:lastRenderedPageBreak/>
              <w:t>nodrošina mērķtiecīgu karjeras izglītību, izglītojamie mācību procesā un citās iestādes aktivitātēs pieredz dažādu, reālistisku darba vidi, iepazīstas ar dažādām profesijām un/vai padziļināti iepazīst savas apgūstamās profesijas specifiku un turpmākās izglītības ieguves iespējas. Izglītības iestāde veic uz datiem balstītu karjeras izglītības izvērtējumu, kas ļauj apgalvot, ka tā ir kvalitatīva. Lielākā daļa izglītojamo (70% un vairāk) ir informēti par aktualitātēm darba tirgū, karjeras iespējām un tendencēm vietējā un valsts mērogā. Katram izglītojamam pēc nepieciešamības ir iespēja saņemt karjeras konsultanta konsultāciju.</w:t>
            </w:r>
          </w:p>
        </w:tc>
        <w:tc>
          <w:tcPr>
            <w:tcW w:w="3989" w:type="dxa"/>
          </w:tcPr>
          <w:p w14:paraId="012694AA" w14:textId="77777777" w:rsidR="007D72A9" w:rsidRDefault="007443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lastRenderedPageBreak/>
              <w:t xml:space="preserve">Izglītības iestāde rosina un atbalsta izglītojamos pieņemt apzinātus lēmumus par izglītības turpināšanu un nodarbinātību. Izglītības programma nodrošina karjeras izglītību, </w:t>
            </w:r>
            <w:r>
              <w:rPr>
                <w:rFonts w:ascii="Times New Roman" w:eastAsia="Times New Roman" w:hAnsi="Times New Roman" w:cs="Times New Roman"/>
                <w:bCs/>
                <w:sz w:val="24"/>
                <w:szCs w:val="24"/>
                <w:lang w:eastAsia="lv-LV"/>
              </w:rPr>
              <w:lastRenderedPageBreak/>
              <w:t>izglītojamie mācību procesā un citās iestādes aktivitātēs iepazīstas ar darba vidi, dažādām profesijām un/vai savas apgūstamās profesijas specifiku un turpmākās izglītības ieguves iespējām. Vairāk kā puse izglītojamo ir informēti par aktualitātēm darba tirgū, karjeras iespējām un tendencēm vietējā un valsts mērogā.</w:t>
            </w:r>
          </w:p>
        </w:tc>
        <w:tc>
          <w:tcPr>
            <w:tcW w:w="3990" w:type="dxa"/>
          </w:tcPr>
          <w:p w14:paraId="4021E2D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jāpilnveido veids, kā izglītojamie tiek informēti un pieņem lēmumus par izglītības turpināšanas iespējām un nodarbinātību. Izglītības programma </w:t>
            </w:r>
            <w:r>
              <w:rPr>
                <w:rFonts w:ascii="Times New Roman" w:eastAsia="Times New Roman" w:hAnsi="Times New Roman" w:cs="Times New Roman"/>
                <w:bCs/>
                <w:sz w:val="24"/>
                <w:szCs w:val="24"/>
                <w:lang w:eastAsia="lv-LV"/>
              </w:rPr>
              <w:lastRenderedPageBreak/>
              <w:t>mācību procesā dod iespēju iepazīties ar darba vidi, dažādām profesijām un/vai savas apgūstamās profesijas specifiku, bet tā ir atsevišķu pedagogu iniciatīva, nevis iestādes pieeja karjeras izglītībai. Puse vai mazāk nekā puse izglītojamo ir informēti par aktualitātēm darba tirgū, karjeras iespējām un tendencēm vietējā un valsts mērogā.</w:t>
            </w:r>
          </w:p>
        </w:tc>
      </w:tr>
      <w:tr w:rsidR="007D72A9" w14:paraId="54799163" w14:textId="77777777" w:rsidTr="003C599C">
        <w:tc>
          <w:tcPr>
            <w:tcW w:w="1553" w:type="dxa"/>
          </w:tcPr>
          <w:p w14:paraId="3288E171" w14:textId="1C72E0A9" w:rsidR="007D72A9" w:rsidRDefault="00292CB1">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w:t>
            </w:r>
            <w:r w:rsidR="00A66B98">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BB50BC">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w:t>
            </w:r>
          </w:p>
        </w:tc>
        <w:tc>
          <w:tcPr>
            <w:tcW w:w="3990" w:type="dxa"/>
          </w:tcPr>
          <w:p w14:paraId="483D7734" w14:textId="2685EF1C"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mērķtiecīgi un sistēmiski izzina savu absolventu turpmākās mācības/studijas un profesionālo darbību, izmanto šo informāciju sava darba izvērtēšanai. Izglītības iestāde ir definējusi precīzus un izmērāmus mērķus saistībā ar absolventu izglītības turpināšanu un nodarbinātību (piemēram, 50% absolventu strādā atbilstoši iegūtajai kvalifikācijai, 40% absolventu iestājas augstskolās un koledžās, 50% absolventu turpina izglītības ieguvi profesionālajā vidējā izglītībā u.tml.). Izglītības iestāde katru gadu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un/vai profesionālo darbību vismaz gadu pēc absolvēšanas un izvērtē tās attiecībā pret izvirzītajiem mērķiem. Izglītības iestāde </w:t>
            </w:r>
            <w:proofErr w:type="spellStart"/>
            <w:r>
              <w:rPr>
                <w:rFonts w:ascii="Times New Roman" w:eastAsia="Times New Roman" w:hAnsi="Times New Roman" w:cs="Times New Roman"/>
                <w:bCs/>
                <w:sz w:val="24"/>
                <w:szCs w:val="24"/>
                <w:lang w:eastAsia="lv-LV"/>
              </w:rPr>
              <w:t>proaktīvi</w:t>
            </w:r>
            <w:proofErr w:type="spellEnd"/>
            <w:r>
              <w:rPr>
                <w:rFonts w:ascii="Times New Roman" w:eastAsia="Times New Roman" w:hAnsi="Times New Roman" w:cs="Times New Roman"/>
                <w:bCs/>
                <w:sz w:val="24"/>
                <w:szCs w:val="24"/>
                <w:lang w:eastAsia="lv-LV"/>
              </w:rPr>
              <w:t xml:space="preserve"> aicina </w:t>
            </w:r>
            <w:r>
              <w:rPr>
                <w:rFonts w:ascii="Times New Roman" w:eastAsia="Times New Roman" w:hAnsi="Times New Roman" w:cs="Times New Roman"/>
                <w:bCs/>
                <w:sz w:val="24"/>
                <w:szCs w:val="24"/>
                <w:lang w:eastAsia="lv-LV"/>
              </w:rPr>
              <w:lastRenderedPageBreak/>
              <w:t>absolventus un izglītības iestādes un darba vietas, kurās viņi mācās/studē vai strādā, sniegt atgriezenisko saiti, lai varētu izdarīt secinājumus par savu profesionālo darbību.</w:t>
            </w:r>
          </w:p>
        </w:tc>
        <w:tc>
          <w:tcPr>
            <w:tcW w:w="3989" w:type="dxa"/>
          </w:tcPr>
          <w:p w14:paraId="7912E6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izzina savu absolventu turpmākās mācības/studijas un profesionālo darbību, izmanto šo informāciju sava darba izvērtēšanai. Iestāde ir definējusi savus mērķus saistībā ar absolventu izglītības turpināšanu un/vai nodarbinātību. Izglītības iestāde katru gadu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un/vai profesionālo darbību vismaz gadu pēc absolvēšanas un izvērtē tās attiecībā pret izvirzītajiem mērķiem.</w:t>
            </w:r>
          </w:p>
        </w:tc>
        <w:tc>
          <w:tcPr>
            <w:tcW w:w="3990" w:type="dxa"/>
          </w:tcPr>
          <w:p w14:paraId="652EEE5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nepilnīgi izzina savu absolventu turpmākās mācības/studijas un profesionālo darbību, nepietiekami izmanto šo informāciju sava darba izvērtēšanai un pilnveidei. Izglītības iestāde nav definējusi savus mērķus saistībā ar absolventu izglītības turpināšanu un nodarbinātību vai arī izvirzītie mērķi ir vispārīgi, kā rezultātā nav iespējams izprast sasniedzamos rezultātus. Izglītības iestāde ne retāk kā reizi divos gados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 profesionālo darbību vismaz gadu pēc absolvēšanas vai arī monitorings tiek veikts haotiski bez vienotas pieejas datu un informācijas ieguvei.</w:t>
            </w:r>
          </w:p>
        </w:tc>
      </w:tr>
    </w:tbl>
    <w:p w14:paraId="786C56BC" w14:textId="77777777" w:rsidR="00A27CB4" w:rsidRDefault="00A27CB4" w:rsidP="00A27CB4">
      <w:pPr>
        <w:spacing w:after="0" w:line="240" w:lineRule="auto"/>
        <w:outlineLvl w:val="0"/>
        <w:rPr>
          <w:rFonts w:ascii="Times New Roman" w:eastAsia="Times New Roman" w:hAnsi="Times New Roman" w:cs="Times New Roman"/>
          <w:bCs/>
          <w:sz w:val="32"/>
          <w:szCs w:val="32"/>
          <w:lang w:eastAsia="lv-LV"/>
        </w:rPr>
      </w:pPr>
    </w:p>
    <w:p w14:paraId="6E5748C9" w14:textId="24396441" w:rsidR="007D72A9" w:rsidRPr="00A27CB4" w:rsidRDefault="00172ECD" w:rsidP="00A27CB4">
      <w:pPr>
        <w:spacing w:after="0" w:line="240" w:lineRule="auto"/>
        <w:outlineLvl w:val="0"/>
        <w:rPr>
          <w:rFonts w:ascii="Times New Roman" w:eastAsia="Times New Roman" w:hAnsi="Times New Roman" w:cs="Times New Roman"/>
          <w:bCs/>
          <w:sz w:val="32"/>
          <w:szCs w:val="32"/>
          <w:lang w:eastAsia="lv-LV"/>
        </w:rPr>
      </w:pPr>
      <w:r w:rsidRPr="00A27CB4">
        <w:rPr>
          <w:rFonts w:ascii="Times New Roman" w:eastAsia="Times New Roman" w:hAnsi="Times New Roman" w:cs="Times New Roman"/>
          <w:b/>
          <w:sz w:val="24"/>
          <w:szCs w:val="24"/>
          <w:lang w:eastAsia="lv-LV"/>
        </w:rPr>
        <w:t>2.</w:t>
      </w:r>
      <w:r w:rsidR="00FA51F3">
        <w:rPr>
          <w:rFonts w:ascii="Times New Roman" w:eastAsia="Times New Roman" w:hAnsi="Times New Roman" w:cs="Times New Roman"/>
          <w:b/>
          <w:sz w:val="24"/>
          <w:szCs w:val="24"/>
          <w:lang w:eastAsia="lv-LV"/>
        </w:rPr>
        <w:t>5</w:t>
      </w:r>
      <w:r w:rsidRPr="00A27CB4">
        <w:rPr>
          <w:rFonts w:ascii="Times New Roman" w:eastAsia="Times New Roman" w:hAnsi="Times New Roman" w:cs="Times New Roman"/>
          <w:b/>
          <w:sz w:val="24"/>
          <w:szCs w:val="24"/>
          <w:lang w:eastAsia="lv-LV"/>
        </w:rPr>
        <w:t xml:space="preserve">. </w:t>
      </w:r>
      <w:r w:rsidR="007443E3" w:rsidRPr="00A27CB4">
        <w:rPr>
          <w:rFonts w:ascii="Times New Roman" w:eastAsia="Times New Roman" w:hAnsi="Times New Roman" w:cs="Times New Roman"/>
          <w:b/>
          <w:sz w:val="24"/>
          <w:szCs w:val="24"/>
          <w:lang w:eastAsia="lv-LV"/>
        </w:rPr>
        <w:t>Kritērijs – MĀCĪŠANA UN MĀCĪŠANĀS</w:t>
      </w:r>
    </w:p>
    <w:p w14:paraId="65F86F1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06CB3368" w14:textId="4D2FE08B"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7628655B" w14:textId="77777777" w:rsidR="00FA51F3" w:rsidRDefault="007443E3" w:rsidP="00FA51F3">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FA51F3">
        <w:rPr>
          <w:rFonts w:ascii="Times New Roman" w:eastAsia="Times New Roman" w:hAnsi="Times New Roman" w:cs="Times New Roman"/>
          <w:bCs/>
          <w:sz w:val="24"/>
          <w:szCs w:val="24"/>
          <w:lang w:eastAsia="lv-LV"/>
        </w:rPr>
        <w:t>Izglītības iestādes izveidotā sistēma datu ieguvei par mācīšanas un mācīšanās kvalitāti un tās pilnveidei;</w:t>
      </w:r>
    </w:p>
    <w:p w14:paraId="45906C39" w14:textId="77777777" w:rsidR="00FA51F3" w:rsidRPr="00FA51F3" w:rsidRDefault="007443E3" w:rsidP="00FA51F3">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FA51F3">
        <w:rPr>
          <w:rFonts w:ascii="Times New Roman" w:hAnsi="Times New Roman" w:cs="Times New Roman"/>
          <w:sz w:val="24"/>
          <w:szCs w:val="24"/>
        </w:rPr>
        <w:t>Izglītības procesa īstenošanas kvalitāte attālinātajās mācībās (tiek izvērtēts visu veidu izglītības iestādēs attālinātajās mācībās);</w:t>
      </w:r>
    </w:p>
    <w:p w14:paraId="17716D3C" w14:textId="77777777" w:rsidR="00FA51F3" w:rsidRPr="00FA51F3" w:rsidRDefault="007443E3" w:rsidP="00FA51F3">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FA51F3">
        <w:rPr>
          <w:rFonts w:ascii="Times New Roman" w:hAnsi="Times New Roman" w:cs="Times New Roman"/>
          <w:sz w:val="24"/>
          <w:szCs w:val="24"/>
        </w:rPr>
        <w:t>Izglītības procesa plānošanas un īstenošanas efektivitāte un kvalitāte (tiek izvērtēts profesionālās izglītības iestādēs profesionālajos mācību priekšmetos, profesionālās ievirzes izglītības iestādēs);</w:t>
      </w:r>
    </w:p>
    <w:p w14:paraId="089A06B7" w14:textId="77777777" w:rsidR="00FA51F3" w:rsidRPr="00FA51F3" w:rsidRDefault="007443E3" w:rsidP="00FA51F3">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FA51F3">
        <w:rPr>
          <w:rFonts w:ascii="Times New Roman" w:hAnsi="Times New Roman" w:cs="Times New Roman"/>
          <w:sz w:val="24"/>
          <w:szCs w:val="24"/>
        </w:rPr>
        <w:t>Mācību sasniegumu vērtēšanas kārtība;</w:t>
      </w:r>
    </w:p>
    <w:p w14:paraId="085AF558" w14:textId="0DC98FB0" w:rsidR="00172ECD" w:rsidRPr="00FA51F3" w:rsidRDefault="007443E3" w:rsidP="00FA51F3">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FA51F3">
        <w:rPr>
          <w:rFonts w:ascii="Times New Roman" w:hAnsi="Times New Roman" w:cs="Times New Roman"/>
          <w:sz w:val="24"/>
          <w:szCs w:val="24"/>
        </w:rPr>
        <w:t>Izglītības iestādes individualizēta un/vai personalizēta atbalsta sniegšana izglītojamiem;</w:t>
      </w:r>
    </w:p>
    <w:p w14:paraId="36E644F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6"/>
        <w:gridCol w:w="3959"/>
        <w:gridCol w:w="4025"/>
        <w:gridCol w:w="3982"/>
      </w:tblGrid>
      <w:tr w:rsidR="007D72A9" w14:paraId="41AD7934" w14:textId="77777777" w:rsidTr="007D0CEE">
        <w:tc>
          <w:tcPr>
            <w:tcW w:w="1556" w:type="dxa"/>
          </w:tcPr>
          <w:p w14:paraId="3AF0E903"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727E8C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59" w:type="dxa"/>
          </w:tcPr>
          <w:p w14:paraId="611A58E9"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AD1C01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25" w:type="dxa"/>
          </w:tcPr>
          <w:p w14:paraId="6BC2AC8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660F0FD"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82" w:type="dxa"/>
          </w:tcPr>
          <w:p w14:paraId="7009D3D4"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410558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54E3AAEA" w14:textId="77777777" w:rsidTr="007D0CEE">
        <w:tc>
          <w:tcPr>
            <w:tcW w:w="1556" w:type="dxa"/>
          </w:tcPr>
          <w:p w14:paraId="370F87F9" w14:textId="61AF7FA9"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FA51F3">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.1.</w:t>
            </w:r>
          </w:p>
        </w:tc>
        <w:tc>
          <w:tcPr>
            <w:tcW w:w="3959" w:type="dxa"/>
          </w:tcPr>
          <w:p w14:paraId="69E02B4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izveidota mērķtiecīga sistēma mācīšanas un mācīšanās procesa kvalitātes izvērtēšanai un pilnveidei visās īstenotajās izglītības programmās. Izglītības iestādē katru semestri tiek veikta mācību stundu/nodarbību vērošana ne mazāk kā 40% pedagogu, lai iegūtu objektīvu informāciju par mācīšanas un mācīšanās procesa kvalitāti, tai skaitā dati un informācija tiek iegūti pedagogu savstarpējā mācību stundu vērošanā. Iegūtā informācija tiek apkopota un analizēta, tās rezultātā veicot izglītības iestādes darba pilnveides pasākumus. Akreditācijas laikā iegūtie dati un informācija apstiprina izglītības </w:t>
            </w:r>
            <w:r>
              <w:rPr>
                <w:rFonts w:ascii="Times New Roman" w:eastAsia="Times New Roman" w:hAnsi="Times New Roman" w:cs="Times New Roman"/>
                <w:bCs/>
                <w:sz w:val="24"/>
                <w:szCs w:val="24"/>
                <w:lang w:eastAsia="lv-LV"/>
              </w:rPr>
              <w:lastRenderedPageBreak/>
              <w:t>iestādes iegūtos mācību stundu / nodarbību vērojumu rezultātus iepriekšējā mācību gadā un aktuālajā mācību gadā.</w:t>
            </w:r>
          </w:p>
        </w:tc>
        <w:tc>
          <w:tcPr>
            <w:tcW w:w="4025" w:type="dxa"/>
          </w:tcPr>
          <w:p w14:paraId="57E8479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Izglītības iestādē ir izveidota / tiek veidota mērķtiecīga sistēma mācīšanas un mācīšanās procesa kvalitātes izvērtēšanai un pilnveidei. Izglītības iestādē katru semestri tiek veikta mācību stundu/nodarbību vērošana ne mazāk kā 20% pedagogu, lai iegūtu objektīvu informāciju par mācīšanas un mācīšanās procesa kvalitāti, ko pamatā veic izglītības iestādes administrācija / vadība, dažkārt pedagogi savstarpējā stundu vērošanā. Akreditācijas laikā iegūtie dati un informācija lielākoties apstiprina izglītības iestādes iegūtos mācību stundu / nodarbību vērojumu rezultātus iepriekšējā mācību gadā un aktuālajā mācību gadā.</w:t>
            </w:r>
          </w:p>
        </w:tc>
        <w:tc>
          <w:tcPr>
            <w:tcW w:w="3982" w:type="dxa"/>
          </w:tcPr>
          <w:p w14:paraId="0510143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katru semestri tiek veikta mācību stundu/nodarbību vērošana ne mazāk kā 10% pedagogu, lai iegūtu informāciju par mācīšanas un mācīšanās procesa kvalitāti, ko veic izglītības iestādes administrācija / vadība. Pedagogu savstarpējā mācību stundu vērošana notiek reti. Akreditācijas laikā iegūtie dati un informācija daļēji apstiprina  izglītības iestādes iegūtos mācību stundu / nodarbību vērojumu rezultātus iepriekšējā mācību gadā un aktuālajā mācību gadā vai arī tie ir būtiski atšķirīgi no izglītības iestādes iegūtajiem datiem un informācijas.</w:t>
            </w:r>
          </w:p>
        </w:tc>
      </w:tr>
      <w:tr w:rsidR="007D72A9" w14:paraId="697CE461" w14:textId="77777777" w:rsidTr="007D0CEE">
        <w:tc>
          <w:tcPr>
            <w:tcW w:w="1556" w:type="dxa"/>
          </w:tcPr>
          <w:p w14:paraId="60EE3483" w14:textId="2B6B8EB7"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FA51F3">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A27CB4">
              <w:rPr>
                <w:rFonts w:ascii="Times New Roman" w:eastAsia="Times New Roman" w:hAnsi="Times New Roman" w:cs="Times New Roman"/>
                <w:bCs/>
                <w:sz w:val="24"/>
                <w:szCs w:val="24"/>
                <w:lang w:eastAsia="lv-LV"/>
              </w:rPr>
              <w:t>2</w:t>
            </w:r>
            <w:r w:rsidR="004D3441">
              <w:rPr>
                <w:rFonts w:ascii="Times New Roman" w:eastAsia="Times New Roman" w:hAnsi="Times New Roman" w:cs="Times New Roman"/>
                <w:bCs/>
                <w:sz w:val="24"/>
                <w:szCs w:val="24"/>
                <w:lang w:eastAsia="lv-LV"/>
              </w:rPr>
              <w:t>.</w:t>
            </w:r>
          </w:p>
        </w:tc>
        <w:tc>
          <w:tcPr>
            <w:tcW w:w="3959" w:type="dxa"/>
          </w:tcPr>
          <w:p w14:paraId="2D617B6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izveidojusi sistēmu attālināto mācību īstenošanai, kura ir zināma un izprotama visām iesaistītajām pusēm. Visi pedagogi kopīgi plāno izglītības satura apguvi pa klasēm/grupām, pielāgo izglītības procesā sasniedzamos rezultātus un pēc nepieciešamības samazina izglītības satura apguvi, tiek ņemtas vērā izglītojamo iespējas apgūt tēmas attālināti, ir pieejamas ne mazāk kā 30% tiešsaistes mācību stundas / nodarbības, pēc nepieciešamības individuālās un/vai grupu konsultācijas, tiek pielāgots mācību stundu saraksts. Pedagogi sniedz dažādu atgriezenisko saiti izglītojamiem, ņemot vērā izglītojamo mācīšanās vajadzības un sniegtās atgriezeniskās saites efektivitāti. Tiek pielāgota summatīvā vērtēšana, lai iegūtie rezultāti būtu objektīvi.</w:t>
            </w:r>
          </w:p>
        </w:tc>
        <w:tc>
          <w:tcPr>
            <w:tcW w:w="4025" w:type="dxa"/>
          </w:tcPr>
          <w:p w14:paraId="0FC70066"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īstenotajās attālinātajās mācībās lielākā daļa pedagogi kopīgi plāno izglītības satura apguvi, pielāgojot sasniedzamos rezultātus, pēc nepieciešamības samazinot izglītības satura apguvi. Pedagogi un izglītojamie izprot attālinātā mācību procesa iezīmes, tai skaitā tiek pielāgots mācību stundu saraksts, nodrošinot ne mazāk kā 30% mācību stundu / nodarbību tiešsaistē. Pedagogi sniedz atgriezenisko saiti izglītojamiem, lielākoties ņemot vērā izglītojamo mācīšanās vajadzības, atgriezeniskās saites sniegšana mēdz būt vienveidīga dažādos mācību priekšmetos, ne vienmēr izvērtējot tās efektivitāti. Izglītojamiem ir pieejamas individuālās konsultācijas pēc nepieciešamības. Summatīvā vērtēšana lielākoties ir objektīva, ko apliecina pedagogi un izglītojamie.</w:t>
            </w:r>
          </w:p>
        </w:tc>
        <w:tc>
          <w:tcPr>
            <w:tcW w:w="3982" w:type="dxa"/>
          </w:tcPr>
          <w:p w14:paraId="6066F97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īstenotajās attālinātajās mācībās puse vai mazāk pedagogi plāno mācību satura apguvi kopīgi. Izglītības procesā sasniedzamie rezultāti un mācību darba organizācija tiek daļēji pielāgoti vai netiek pielāgoti, ņemot vērā attālinātā mācību procesa iezīmes (piemēram, nepietiekami tiek samazināta izglītības satura apguve, nav atbilstoši pielāgots mācību stundu / nodarbību saraksts, nepietiekams vai pārāk liels tiešsaistes nodarbību / mācību stundu saraksts u.tml.). Pedagogi sniedz vienveidīgu atgriezenisko saiti, neizvērtējot tās efektivitāti. Izglītojamiem nav pieejamas individuālās un/vai grupu konsultācijas. Summatīvā vērtēšana netiek atbilstoši pielāgota un ir tikai daļēji objektīva, ko apliecina pedagogi un izglītojamie.</w:t>
            </w:r>
          </w:p>
        </w:tc>
      </w:tr>
      <w:tr w:rsidR="007D72A9" w14:paraId="0DABD517" w14:textId="77777777" w:rsidTr="007D0CEE">
        <w:tc>
          <w:tcPr>
            <w:tcW w:w="1556" w:type="dxa"/>
          </w:tcPr>
          <w:p w14:paraId="77524623" w14:textId="6178C937"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FA51F3">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A27CB4">
              <w:rPr>
                <w:rFonts w:ascii="Times New Roman" w:eastAsia="Times New Roman" w:hAnsi="Times New Roman" w:cs="Times New Roman"/>
                <w:bCs/>
                <w:sz w:val="24"/>
                <w:szCs w:val="24"/>
                <w:lang w:eastAsia="lv-LV"/>
              </w:rPr>
              <w:t>3</w:t>
            </w:r>
            <w:r w:rsidR="004D3441">
              <w:rPr>
                <w:rFonts w:ascii="Times New Roman" w:eastAsia="Times New Roman" w:hAnsi="Times New Roman" w:cs="Times New Roman"/>
                <w:bCs/>
                <w:sz w:val="24"/>
                <w:szCs w:val="24"/>
                <w:lang w:eastAsia="lv-LV"/>
              </w:rPr>
              <w:t>.</w:t>
            </w:r>
          </w:p>
        </w:tc>
        <w:tc>
          <w:tcPr>
            <w:tcW w:w="3959" w:type="dxa"/>
          </w:tcPr>
          <w:p w14:paraId="2A5991F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Mācību stundu / nodarbību vērošanas rezultāti izglītības iestādē apliecina, ka izglītības procesā lielākoties (75% un vairāk vērotajās stundās / nodarbībās) ir iespējams apgūt izglītojamiem nepieciešamās zināšanas, prasmes un attieksmes profesionālai darbībai, nodarbības ir metodiski un didaktiski daudzveidīgas un profesionāli veidotas, tajās pedagogiem un izglītojamiem kopīgi definējot </w:t>
            </w:r>
            <w:r>
              <w:rPr>
                <w:rFonts w:ascii="Times New Roman" w:eastAsia="Times New Roman" w:hAnsi="Times New Roman" w:cs="Times New Roman"/>
                <w:bCs/>
                <w:sz w:val="24"/>
                <w:szCs w:val="24"/>
                <w:lang w:eastAsia="lv-LV"/>
              </w:rPr>
              <w:lastRenderedPageBreak/>
              <w:t>sasniedzamo rezultātu un strukturējot trīs daļās (ierosināšana, apjēgšana un refleksija). Mācību stundā un nodarbībā tiek sniegta un saņemta pedagogu un izglītojamo dažāda atgriezeniskā saite, izglītojamie paši prot novērtēt savu veikumu mācību stundā / nodarbībā. Pedagogi pielāgo izglītības saturu klasei / grupai / izglītojamam atbilstoši viņu spējām, vajadzībām un interesēm. Lielākā daļa izglītojamie (75% un vairāk vērotajās mācību stundās / nodarbībās) ir motivēti apgūt mācību stundās / nodarbībās piedāvāto izglītības saturu, pedagogi vada mācības un izglītības process pamatā ir izglītojamo centrēts un/vai izglītojamo vadīts.</w:t>
            </w:r>
          </w:p>
        </w:tc>
        <w:tc>
          <w:tcPr>
            <w:tcW w:w="4025" w:type="dxa"/>
          </w:tcPr>
          <w:p w14:paraId="4940B3AD" w14:textId="77777777" w:rsidR="007D72A9" w:rsidRPr="00614A19" w:rsidRDefault="007443E3">
            <w:pPr>
              <w:spacing w:line="240" w:lineRule="auto"/>
              <w:jc w:val="both"/>
              <w:rPr>
                <w:rFonts w:ascii="Times New Roman" w:hAnsi="Times New Roman" w:cs="Times New Roman"/>
              </w:rPr>
            </w:pPr>
            <w:r>
              <w:rPr>
                <w:rFonts w:ascii="Times New Roman" w:eastAsia="Times New Roman" w:hAnsi="Times New Roman" w:cs="Times New Roman"/>
                <w:bCs/>
                <w:sz w:val="24"/>
                <w:szCs w:val="24"/>
                <w:lang w:eastAsia="lv-LV"/>
              </w:rPr>
              <w:lastRenderedPageBreak/>
              <w:t xml:space="preserve">Mācību stundu / nodarbību vērošanas rezultāti izglītības iestādē apliecina, ka izglītības procesā (51 – 74% vērotajās nodarbībās) ir iespējams apgūt izglītojamiem nepieciešamās zināšanas, prasmes un attieksmes profesionālai darbībai, nodarbības ir metodiski un didaktiski profesionāli veidotas, tajās pedagogiem definējot sasniedzamo rezultātu un strukturējot trīs daļās (ierosināšana, apjēgšana un refleksija). </w:t>
            </w:r>
            <w:r>
              <w:rPr>
                <w:rFonts w:ascii="Times New Roman" w:eastAsia="Times New Roman" w:hAnsi="Times New Roman" w:cs="Times New Roman"/>
                <w:bCs/>
                <w:sz w:val="24"/>
                <w:szCs w:val="24"/>
                <w:lang w:eastAsia="lv-LV"/>
              </w:rPr>
              <w:lastRenderedPageBreak/>
              <w:t xml:space="preserve">Mācību stundā un nodarbībā pamatā pedagogi sniedz atgriezenisko saiti izglītojamiem, pēc pedagoga sniegtajām norādēm izglītojamie prot novērtēt savu veikumu mācību stundā / nodarbībā. Pedagogi pielāgo izglītības saturu klasei / grupai / izglītojamam atbilstoši viņu spējām, vajadzībām un interesēm, bet dažkārt sasniegtais rezultāts norāda uz nepieciešamību pēc lielākām izmaiņām izglītības satura apguvē nekā pedagogs to ir plānojis. Vairāk kā puse izglītojamie (51 – 74% vērotajās mācību stundās / nodarbībās) ir motivēti apgūt mācību stundās / nodarbībās piedāvāto izglītības saturu, pedagogi pamatā māca un izglītības process pamatā ir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 xml:space="preserve"> un/vai izglītojamo centrēts.</w:t>
            </w:r>
          </w:p>
        </w:tc>
        <w:tc>
          <w:tcPr>
            <w:tcW w:w="3982" w:type="dxa"/>
          </w:tcPr>
          <w:p w14:paraId="5239C79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Mācību stundu / nodarbību vērošanas rezultāti izglītības iestādē apliecina, ka izglītības procesā (30 – 50% vērotajās nodarbībās) ir iespējams apgūt izglītojamiem nepieciešamās zināšanas, prasmes un attieksmes profesionālai darbībai, nodarbības ir metodiski un didaktiski daļēji profesionāli veidotas un/vai vienveidīgas, tajās pedagogi nepietiekami precīzi definē </w:t>
            </w:r>
            <w:r>
              <w:rPr>
                <w:rFonts w:ascii="Times New Roman" w:eastAsia="Times New Roman" w:hAnsi="Times New Roman" w:cs="Times New Roman"/>
                <w:bCs/>
                <w:sz w:val="24"/>
                <w:szCs w:val="24"/>
                <w:lang w:eastAsia="lv-LV"/>
              </w:rPr>
              <w:lastRenderedPageBreak/>
              <w:t xml:space="preserve">sasniedzamo rezultātu vai nenosaka sasniedzamo rezultātu, un/vai tajās nav ievērota nepieciešamība mācību stundu / nodarbību strukturēt trīs daļās (ierosināšana, apjēgšana un refleksija). Mācību stundā un nodarbībā pedagogi daļēji pietiekami sniedz atgriezenisko saiti izglītojamiem, reti novērojams, ka izglītojamie prot objektīvi novērtēt savu veikumu mācību stundā / nodarbībā. Pedagogi daļēji pielāgo izglītības saturu klasei / grupai / izglītojamam atbilstoši viņu spējām, vajadzībām un interesēm, sasniegtais rezultāts pamatā norāda uz nepieciešamību pēc lielākām izmaiņām izglītības satura apguvē nekā pedagogs to ir plānojis. Puse un mazāk izglītojamie (30 – 50% vērotajās mācību stundās / nodarbībās) ir motivēti apgūt mācību stundās / nodarbībās piedāvāto izglītības saturu, pedagogi pamatā māca un izglītības process lielākoties ir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w:t>
            </w:r>
          </w:p>
        </w:tc>
      </w:tr>
      <w:tr w:rsidR="007D72A9" w14:paraId="557651FF" w14:textId="77777777" w:rsidTr="007D0CEE">
        <w:tc>
          <w:tcPr>
            <w:tcW w:w="1556" w:type="dxa"/>
          </w:tcPr>
          <w:p w14:paraId="141A7AEC" w14:textId="3E9FD448"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FA51F3">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A27CB4">
              <w:rPr>
                <w:rFonts w:ascii="Times New Roman" w:eastAsia="Times New Roman" w:hAnsi="Times New Roman" w:cs="Times New Roman"/>
                <w:bCs/>
                <w:sz w:val="24"/>
                <w:szCs w:val="24"/>
                <w:lang w:eastAsia="lv-LV"/>
              </w:rPr>
              <w:t>4</w:t>
            </w:r>
            <w:r w:rsidR="004D3441">
              <w:rPr>
                <w:rFonts w:ascii="Times New Roman" w:eastAsia="Times New Roman" w:hAnsi="Times New Roman" w:cs="Times New Roman"/>
                <w:bCs/>
                <w:sz w:val="24"/>
                <w:szCs w:val="24"/>
                <w:lang w:eastAsia="lv-LV"/>
              </w:rPr>
              <w:t>.</w:t>
            </w:r>
          </w:p>
        </w:tc>
        <w:tc>
          <w:tcPr>
            <w:tcW w:w="3959" w:type="dxa"/>
          </w:tcPr>
          <w:p w14:paraId="56EA5F9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iesaistoties dažādām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(piemēram, administrācijai, pedagogiem, izglītojamiem, vecākiem), ir izstrādājusi mācību sasniegumu vērtēšanas kārtību, kas nodrošina katra izglītojamā izaugsmi. Tā ir sistēmiska, iekļaujoša, atklāta un metodiski daudzveidīga. Pedagogi lielākoties izprot mācību sasniegumu vērtēšanas kārtību un ievēro to. Izglītojamie un vecāki ir informēti par mācību sasniegumu vērtēšanas kārtību, tai </w:t>
            </w:r>
            <w:r>
              <w:rPr>
                <w:rFonts w:ascii="Times New Roman" w:eastAsia="Times New Roman" w:hAnsi="Times New Roman" w:cs="Times New Roman"/>
                <w:bCs/>
                <w:sz w:val="24"/>
                <w:szCs w:val="24"/>
                <w:lang w:eastAsia="lv-LV"/>
              </w:rPr>
              <w:lastRenderedPageBreak/>
              <w:t xml:space="preserve">skaitā par iespējām uzlabot sniegumu,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sekmīgi risina problēmsituācijas, kuras rodas saistībā ar mācību sasniegumu vērtēšanu, pedagogi citām izglītības iestādēm piedāvā un popularizē savu pieredzi, kā sekmīgi izmantot mācību sasniegumu vērtēšanu, lai sasniegtu mācību un audzināšanas mērķus.</w:t>
            </w:r>
          </w:p>
        </w:tc>
        <w:tc>
          <w:tcPr>
            <w:tcW w:w="4025" w:type="dxa"/>
          </w:tcPr>
          <w:p w14:paraId="7862E67E"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ir izstrādājusi mācību sasniegumu vērtēšanas kārtību, kas nodrošina katra izglītojamā izaugsmi. Tā ir sistēmiska, iekļaujoša, atklāta un metodiski daudzveidīga. Pedagogi pamatā izprot mācību sasniegumu vērtēšanas kārtību un ievēro to. Izglītojamie un vecāki ir informēti par mācību sasniegumu vērtēšanas kārtību, tai skaitā par iespējām uzlabot sniegumu,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w:t>
            </w:r>
            <w:r>
              <w:rPr>
                <w:rFonts w:ascii="Times New Roman" w:eastAsia="Times New Roman" w:hAnsi="Times New Roman" w:cs="Times New Roman"/>
                <w:bCs/>
                <w:sz w:val="24"/>
                <w:szCs w:val="24"/>
                <w:lang w:eastAsia="lv-LV"/>
              </w:rPr>
              <w:lastRenderedPageBreak/>
              <w:t>iestādes vadība sekmīgi risina problēmsituācijas, kuras rodas saistībā ar mācību sasniegumu vērtēšanu.</w:t>
            </w:r>
          </w:p>
        </w:tc>
        <w:tc>
          <w:tcPr>
            <w:tcW w:w="3982" w:type="dxa"/>
          </w:tcPr>
          <w:p w14:paraId="0531758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nepieciešams pilnveidot mācību sasniegumu vērtēšanas kārtību, lai tā pilnībā nodrošinātu katra izglītojamā izaugsmi un būtu sistēmiska, iekļaujoša, atklāta un metodiski daudzveidīga. Pedagogi atšķirīgi izprot mācību sasniegumu vērtēšanas kārtību. Izglītojamie un vecāki ir informēti par mācību sasniegumu vērtēšanas kārtību, tai skaitā par iespējām uzlabot sniegumu, bet nepilnīgi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w:t>
            </w:r>
            <w:r>
              <w:rPr>
                <w:rFonts w:ascii="Times New Roman" w:eastAsia="Times New Roman" w:hAnsi="Times New Roman" w:cs="Times New Roman"/>
                <w:bCs/>
                <w:sz w:val="24"/>
                <w:szCs w:val="24"/>
                <w:lang w:eastAsia="lv-LV"/>
              </w:rPr>
              <w:lastRenderedPageBreak/>
              <w:t>sasniedzamos rezultātus. Izglītības iestādes vadība ne vienmēr sekmīgi risina problēmsituācijas, kuras rodas saistībā ar mācību sasniegumu vērtēšanu.</w:t>
            </w:r>
          </w:p>
        </w:tc>
      </w:tr>
      <w:tr w:rsidR="007D72A9" w14:paraId="19EFA5BD" w14:textId="77777777" w:rsidTr="007D0CEE">
        <w:tc>
          <w:tcPr>
            <w:tcW w:w="1556" w:type="dxa"/>
          </w:tcPr>
          <w:p w14:paraId="373485F2" w14:textId="49A6CE35"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FA51F3">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A27CB4">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p>
        </w:tc>
        <w:tc>
          <w:tcPr>
            <w:tcW w:w="3959" w:type="dxa"/>
          </w:tcPr>
          <w:p w14:paraId="7503546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sistēma, kā tiek diagnosticēts un sniegts individualizēts un/vai personalizēts atbalsts izglītojamiem. Tās nodrošināšanā aktīvi sadarbojas pedagogi, atbalsta personāls un vecāki. Atbalsts atbilstoši viņu spējām un vajadzībām ir pieejams dažādiem izglītojamiem. Pedagogi sadarbojas ar atbalsta personālu, plānojot un īstenojot ikdienas mācību un audzināšanas procesu, apkopo informāciju par izglītojamiem, sniedz informāciju un ieteikumus par to, kā iespējams sasniegt labus rezultātus, viens otram, dažkārt arī vecākiem, pēc nepieciešamības pielāgo mācības konkrētiem izglītojamiem. Informācija par izglītojamiem, kam tiek sniegts atbalsts,  tiek apkopota, to veic atbalsta personāls un/vai izglītības iestādes noteiktā atbildīgā persona (piemēram, klases/grupas audzinātājs). Izglītības iestāde regulāri izvērtē sniegtā atbalsta efektivitāti, pilnveido atbalsta sistēmu. </w:t>
            </w:r>
          </w:p>
        </w:tc>
        <w:tc>
          <w:tcPr>
            <w:tcW w:w="4025" w:type="dxa"/>
          </w:tcPr>
          <w:p w14:paraId="1BC8E14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sistēma, kā tiek diagnosticēts un sniegts individualizēts un/vai personalizēts atbalsts izglītojamiem. Tās nodrošināšanā iesaistās pedagogi un atbalsta personāls, tomēr atbalsts pamatā tiek nodrošināts izglītojamiem ar speciālām vajadzībām vai izglītojamiem ar mācīšanās grūtībām, vai arī talantīgiem izglītojamiem. Pedagogi sadarbojas ar atbalsta personālu ikdienas mācību un audzināšanas procesā, ņem vērā atbalsta personāla sniegto informāciju un ieteikumus un pielāgo mācības konkrētiem izglītojamiem. Informācija par izglītojamiem, kam tiek sniegts atbalsts,  tiek apkopota, to veic atbalsta personāls vai izglītības iestādes noteiktā atbildīgā persona (piemēram, klases/grupas audzinātājs). Izglītības iestāde regulāri izvērtē sniegtā atbalsta efektivitāti, pilnveido atbalsta sistēmu.</w:t>
            </w:r>
          </w:p>
        </w:tc>
        <w:tc>
          <w:tcPr>
            <w:tcW w:w="3982" w:type="dxa"/>
          </w:tcPr>
          <w:p w14:paraId="0478660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diagnosticēts un sniegts individualizēts un/vai personalizēts atbalsts izglītojamiem, bet tas nav sistēmisks. Atbalsta nodrošināšanā iesaistās pedagogi, dažreiz atbalsta personāls, tomēr ierobežotā personāla skaita vai profesionālās kapacitātes trūkuma dēļ atbalsts tiek nodrošināts nepilnīgi. Gadījumos, kad izglītības iestādē ir pieejams atbalsta personāls, pedagogi ikdienas mācību un audzināšanas procesā daļēji sekmīgi sadarbojas ar atbalsta personālu, pedagogi ne vienmēr ņem vērā atbalsta personāla sniegto informāciju un ieteikumus, tikai daļēji pielāgo mācības konkrētiem izglītojamiem. Informācija par izglītojamiem, kam tiek sniegts atbalsts,  tiek apkopota, to veic atbalsta personāls vai izglītības iestādes noteiktā atbildīgā persona (piemēram, klases/grupas audzinātājs), tomēr nepieciešamie uzlabojumi atbalsta sistēmā netiek ieviesti pietiekami efektīvi un/vai savlaicīgi.</w:t>
            </w:r>
          </w:p>
        </w:tc>
      </w:tr>
    </w:tbl>
    <w:p w14:paraId="2532AC24" w14:textId="77777777" w:rsidR="007D72A9" w:rsidRDefault="007D72A9"/>
    <w:p w14:paraId="2402A56A" w14:textId="35B69168" w:rsidR="007D72A9" w:rsidRDefault="00FA51F3">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074A94" w:rsidRPr="00A27CB4">
        <w:rPr>
          <w:rFonts w:ascii="Times New Roman" w:eastAsia="Times New Roman" w:hAnsi="Times New Roman" w:cs="Times New Roman"/>
          <w:b/>
          <w:sz w:val="24"/>
          <w:szCs w:val="24"/>
          <w:lang w:eastAsia="lv-LV"/>
        </w:rPr>
        <w:t xml:space="preserve">.3. </w:t>
      </w:r>
      <w:r w:rsidR="007443E3" w:rsidRPr="00A27CB4">
        <w:rPr>
          <w:rFonts w:ascii="Times New Roman" w:eastAsia="Times New Roman" w:hAnsi="Times New Roman" w:cs="Times New Roman"/>
          <w:b/>
          <w:sz w:val="24"/>
          <w:szCs w:val="24"/>
          <w:lang w:eastAsia="lv-LV"/>
        </w:rPr>
        <w:t>Kritērijs – IZGLĪTĪBAS PROGRAMMU ĪSTENOŠANA</w:t>
      </w:r>
    </w:p>
    <w:p w14:paraId="0D659000"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646E2B11" w14:textId="77777777" w:rsidR="00703113" w:rsidRDefault="007443E3" w:rsidP="0070311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6D1DDA68" w14:textId="1503F5DB" w:rsidR="00F21B9C" w:rsidRDefault="00062A76" w:rsidP="005B4C56">
      <w:pPr>
        <w:tabs>
          <w:tab w:val="left" w:pos="1276"/>
        </w:tabs>
        <w:spacing w:after="0" w:line="240" w:lineRule="auto"/>
        <w:ind w:firstLine="426"/>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.3.1.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informācijas par tās īstenoto izglītības programmu ievadīšana un aktualizēšana VIIS;</w:t>
      </w:r>
    </w:p>
    <w:p w14:paraId="0120040D" w14:textId="724C44B5" w:rsidR="00703113" w:rsidRPr="00F21B9C" w:rsidRDefault="00062A76" w:rsidP="00732442">
      <w:pPr>
        <w:spacing w:after="0" w:line="240" w:lineRule="auto"/>
        <w:ind w:firstLine="426"/>
        <w:jc w:val="both"/>
        <w:outlineLvl w:val="0"/>
        <w:rPr>
          <w:rFonts w:ascii="Times New Roman" w:hAnsi="Times New Roman" w:cs="Times New Roman"/>
          <w:sz w:val="24"/>
          <w:szCs w:val="24"/>
        </w:rPr>
      </w:pPr>
      <w:r>
        <w:rPr>
          <w:rFonts w:ascii="Times New Roman" w:hAnsi="Times New Roman" w:cs="Times New Roman"/>
          <w:sz w:val="24"/>
          <w:szCs w:val="24"/>
        </w:rPr>
        <w:t>3</w:t>
      </w:r>
      <w:r w:rsidR="00F21B9C">
        <w:rPr>
          <w:rFonts w:ascii="Times New Roman" w:hAnsi="Times New Roman" w:cs="Times New Roman"/>
          <w:sz w:val="24"/>
          <w:szCs w:val="24"/>
        </w:rPr>
        <w:t xml:space="preserve">.3.2. </w:t>
      </w:r>
      <w:r w:rsidR="00732442">
        <w:rPr>
          <w:rFonts w:ascii="Times New Roman" w:hAnsi="Times New Roman" w:cs="Times New Roman"/>
          <w:sz w:val="24"/>
          <w:szCs w:val="24"/>
        </w:rPr>
        <w:t xml:space="preserve"> </w:t>
      </w:r>
      <w:r w:rsidR="005B4C56">
        <w:rPr>
          <w:rFonts w:ascii="Times New Roman" w:hAnsi="Times New Roman" w:cs="Times New Roman"/>
          <w:sz w:val="24"/>
          <w:szCs w:val="24"/>
        </w:rPr>
        <w:t xml:space="preserve"> </w:t>
      </w:r>
      <w:r w:rsidR="007443E3" w:rsidRPr="00703113">
        <w:rPr>
          <w:rFonts w:ascii="Times New Roman" w:hAnsi="Times New Roman" w:cs="Times New Roman"/>
          <w:sz w:val="24"/>
          <w:szCs w:val="24"/>
        </w:rPr>
        <w:t>Izglītības iestādes īstenotās izglītības programmas atbilstība tiesību aktos noteiktajām prasībām, aktualitāte un mūsdienīgums;</w:t>
      </w:r>
    </w:p>
    <w:p w14:paraId="06C53E4F" w14:textId="34185F7A" w:rsidR="00703113" w:rsidRDefault="00062A76" w:rsidP="007A0A0C">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.3.3. </w:t>
      </w:r>
      <w:r w:rsidR="00D96B1C">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 xml:space="preserve">Izglītības programmas īstenošanā iesaistīto izpratne par izglītības programmas mērķiem un 1-3 gadu laikā sasniedzamajiem </w:t>
      </w:r>
      <w:r w:rsidR="00732442">
        <w:rPr>
          <w:rFonts w:ascii="Times New Roman" w:hAnsi="Times New Roman" w:cs="Times New Roman"/>
          <w:sz w:val="24"/>
          <w:szCs w:val="24"/>
        </w:rPr>
        <w:t xml:space="preserve"> </w:t>
      </w:r>
      <w:r w:rsidR="007443E3" w:rsidRPr="00703113">
        <w:rPr>
          <w:rFonts w:ascii="Times New Roman" w:hAnsi="Times New Roman" w:cs="Times New Roman"/>
          <w:sz w:val="24"/>
          <w:szCs w:val="24"/>
        </w:rPr>
        <w:t>rezultātiem;</w:t>
      </w:r>
    </w:p>
    <w:p w14:paraId="45C31751" w14:textId="56F99280" w:rsidR="00703113" w:rsidRDefault="00062A76"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.3.4.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pedagogu sadarbība, nodrošinot vienotu pieeju izglītības programmas īstenošanā;</w:t>
      </w:r>
    </w:p>
    <w:p w14:paraId="06A1F764" w14:textId="336A7A15" w:rsidR="00703113" w:rsidRDefault="00062A76"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.3.5. </w:t>
      </w:r>
      <w:r w:rsidR="00732442">
        <w:rPr>
          <w:rFonts w:ascii="Times New Roman" w:eastAsia="Times New Roman" w:hAnsi="Times New Roman" w:cs="Times New Roman"/>
          <w:bCs/>
          <w:sz w:val="24"/>
          <w:szCs w:val="24"/>
          <w:lang w:eastAsia="lv-LV"/>
        </w:rPr>
        <w:t xml:space="preserve">  </w:t>
      </w:r>
      <w:r w:rsidR="007443E3" w:rsidRPr="00703113">
        <w:rPr>
          <w:rFonts w:ascii="Times New Roman" w:eastAsia="Times New Roman" w:hAnsi="Times New Roman" w:cs="Times New Roman"/>
          <w:bCs/>
          <w:sz w:val="24"/>
          <w:szCs w:val="24"/>
          <w:lang w:eastAsia="lv-LV"/>
        </w:rPr>
        <w:t>Izglītības iestādes īstenoto mācību/ārpusstundu pasākumu efektivitāte, nodrošinot izglītības programmas mērķu sasniegšanu;</w:t>
      </w:r>
    </w:p>
    <w:p w14:paraId="173CD5C1" w14:textId="51153306" w:rsidR="00703113" w:rsidRDefault="00062A76"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.3.6.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darbība mācību laika efektīvai izmantošanai, īstenojot izglītības programmu;</w:t>
      </w:r>
    </w:p>
    <w:p w14:paraId="5B64C896" w14:textId="56B01E4C" w:rsidR="00300BE8" w:rsidRDefault="00062A76"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Pr>
          <w:rFonts w:ascii="Times New Roman" w:eastAsia="Times New Roman" w:hAnsi="Times New Roman" w:cs="Times New Roman"/>
          <w:bCs/>
          <w:sz w:val="24"/>
          <w:szCs w:val="24"/>
          <w:lang w:eastAsia="lv-LV"/>
        </w:rPr>
        <w:t>.3.</w:t>
      </w:r>
      <w:r w:rsidR="00A27CB4">
        <w:rPr>
          <w:rFonts w:ascii="Times New Roman" w:eastAsia="Times New Roman" w:hAnsi="Times New Roman" w:cs="Times New Roman"/>
          <w:bCs/>
          <w:sz w:val="24"/>
          <w:szCs w:val="24"/>
          <w:lang w:eastAsia="lv-LV"/>
        </w:rPr>
        <w:t>7</w:t>
      </w:r>
      <w:r w:rsidR="00300BE8">
        <w:rPr>
          <w:rFonts w:ascii="Times New Roman" w:eastAsia="Times New Roman" w:hAnsi="Times New Roman" w:cs="Times New Roman"/>
          <w:bCs/>
          <w:sz w:val="24"/>
          <w:szCs w:val="24"/>
          <w:lang w:eastAsia="lv-LV"/>
        </w:rPr>
        <w:t xml:space="preserve">. </w:t>
      </w:r>
      <w:r w:rsidR="003B04EF">
        <w:rPr>
          <w:rFonts w:ascii="Times New Roman" w:eastAsia="Times New Roman" w:hAnsi="Times New Roman" w:cs="Times New Roman"/>
          <w:bCs/>
          <w:sz w:val="24"/>
          <w:szCs w:val="24"/>
          <w:lang w:eastAsia="lv-LV"/>
        </w:rPr>
        <w:t xml:space="preserve"> </w:t>
      </w:r>
      <w:r w:rsidR="007443E3" w:rsidRPr="00300BE8">
        <w:rPr>
          <w:rFonts w:ascii="Times New Roman" w:hAnsi="Times New Roman" w:cs="Times New Roman"/>
          <w:sz w:val="24"/>
          <w:szCs w:val="24"/>
        </w:rPr>
        <w:t>Izglītības programmas īstenošanas kvalitāte dažādās struktūrvienībās (filiālēs) (tiek izvērtēts izglītības iestādēs, kuras īsteno izglītības programmu dažādās struktūrvienībās/filiālēs);</w:t>
      </w:r>
    </w:p>
    <w:p w14:paraId="3ED9826F" w14:textId="073C23DD" w:rsidR="007D72A9" w:rsidRDefault="00062A76" w:rsidP="0096173B">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Pr>
          <w:rFonts w:ascii="Times New Roman" w:eastAsia="Times New Roman" w:hAnsi="Times New Roman" w:cs="Times New Roman"/>
          <w:bCs/>
          <w:sz w:val="24"/>
          <w:szCs w:val="24"/>
          <w:lang w:eastAsia="lv-LV"/>
        </w:rPr>
        <w:t>.3.</w:t>
      </w:r>
      <w:r w:rsidR="00A27CB4">
        <w:rPr>
          <w:rFonts w:ascii="Times New Roman" w:eastAsia="Times New Roman" w:hAnsi="Times New Roman" w:cs="Times New Roman"/>
          <w:bCs/>
          <w:sz w:val="24"/>
          <w:szCs w:val="24"/>
          <w:lang w:eastAsia="lv-LV"/>
        </w:rPr>
        <w:t>8</w:t>
      </w:r>
      <w:r w:rsidR="00300BE8">
        <w:rPr>
          <w:rFonts w:ascii="Times New Roman" w:eastAsia="Times New Roman" w:hAnsi="Times New Roman" w:cs="Times New Roman"/>
          <w:bCs/>
          <w:sz w:val="24"/>
          <w:szCs w:val="24"/>
          <w:lang w:eastAsia="lv-LV"/>
        </w:rPr>
        <w:t xml:space="preserve">. </w:t>
      </w:r>
      <w:r w:rsidR="007443E3" w:rsidRPr="00300BE8">
        <w:rPr>
          <w:rFonts w:ascii="Times New Roman" w:eastAsia="Times New Roman" w:hAnsi="Times New Roman" w:cs="Times New Roman"/>
          <w:bCs/>
          <w:sz w:val="24"/>
          <w:szCs w:val="24"/>
          <w:lang w:eastAsia="lv-LV"/>
        </w:rPr>
        <w:t>Izglītības iestādes īstenotās izglītības programmas efektivitāte un kvalitāte (tiek izvērtēts, sākot ar 2022./2023.māc.g.);</w:t>
      </w:r>
    </w:p>
    <w:p w14:paraId="0D6A4E57" w14:textId="77777777" w:rsidR="0096173B" w:rsidRDefault="0096173B" w:rsidP="0096173B">
      <w:pPr>
        <w:spacing w:after="0" w:line="240" w:lineRule="auto"/>
        <w:ind w:left="1276" w:hanging="850"/>
        <w:jc w:val="both"/>
        <w:outlineLvl w:val="0"/>
        <w:rPr>
          <w:rFonts w:ascii="Times New Roman" w:eastAsia="Times New Roman" w:hAnsi="Times New Roman" w:cs="Times New Roman"/>
          <w:bCs/>
          <w:sz w:val="24"/>
          <w:szCs w:val="24"/>
          <w:lang w:eastAsia="lv-LV"/>
        </w:rPr>
      </w:pPr>
    </w:p>
    <w:tbl>
      <w:tblPr>
        <w:tblStyle w:val="Reatabula"/>
        <w:tblW w:w="14046" w:type="dxa"/>
        <w:tblInd w:w="-572" w:type="dxa"/>
        <w:tblLayout w:type="fixed"/>
        <w:tblLook w:val="04A0" w:firstRow="1" w:lastRow="0" w:firstColumn="1" w:lastColumn="0" w:noHBand="0" w:noVBand="1"/>
      </w:tblPr>
      <w:tblGrid>
        <w:gridCol w:w="236"/>
        <w:gridCol w:w="1302"/>
        <w:gridCol w:w="4098"/>
        <w:gridCol w:w="4090"/>
        <w:gridCol w:w="4320"/>
      </w:tblGrid>
      <w:tr w:rsidR="007D72A9" w14:paraId="3283C720" w14:textId="77777777" w:rsidTr="00DA76D7">
        <w:tc>
          <w:tcPr>
            <w:tcW w:w="1538" w:type="dxa"/>
            <w:gridSpan w:val="2"/>
          </w:tcPr>
          <w:p w14:paraId="396DB843"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142B74F"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098" w:type="dxa"/>
          </w:tcPr>
          <w:p w14:paraId="377F2ACA"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499601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90" w:type="dxa"/>
          </w:tcPr>
          <w:p w14:paraId="2B087B5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F6FC34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320" w:type="dxa"/>
          </w:tcPr>
          <w:p w14:paraId="7DA2F6A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FDDFEC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6DC9C96C" w14:textId="77777777" w:rsidTr="00DA76D7">
        <w:tc>
          <w:tcPr>
            <w:tcW w:w="1538" w:type="dxa"/>
            <w:gridSpan w:val="2"/>
          </w:tcPr>
          <w:p w14:paraId="047ADE56" w14:textId="5B5499C5" w:rsidR="007D72A9" w:rsidRDefault="006317F1">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A3639D">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041CCC">
              <w:rPr>
                <w:rFonts w:ascii="Times New Roman" w:eastAsia="Times New Roman" w:hAnsi="Times New Roman" w:cs="Times New Roman"/>
                <w:bCs/>
                <w:sz w:val="24"/>
                <w:szCs w:val="24"/>
                <w:lang w:eastAsia="lv-LV"/>
              </w:rPr>
              <w:t>.</w:t>
            </w:r>
          </w:p>
        </w:tc>
        <w:tc>
          <w:tcPr>
            <w:tcW w:w="4098" w:type="dxa"/>
            <w:shd w:val="clear" w:color="auto" w:fill="auto"/>
          </w:tcPr>
          <w:p w14:paraId="78B0363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un izglītības iestādes rīcību, lai risinātu problēmsituācijas ar konkrētajiem izglītojamiem. Izglītības iestāde savā vai tās dibinātāja tīmekļa vietnē ir ievietojusi izglītības iestādes pašnovērtējuma ziņojuma publiskojamo daļu.</w:t>
            </w:r>
          </w:p>
        </w:tc>
        <w:tc>
          <w:tcPr>
            <w:tcW w:w="4090" w:type="dxa"/>
            <w:shd w:val="clear" w:color="auto" w:fill="auto"/>
          </w:tcPr>
          <w:p w14:paraId="1B1C1BC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w:t>
            </w:r>
          </w:p>
        </w:tc>
        <w:tc>
          <w:tcPr>
            <w:tcW w:w="4320" w:type="dxa"/>
            <w:shd w:val="clear" w:color="auto" w:fill="auto"/>
          </w:tcPr>
          <w:p w14:paraId="206214E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nav savlaicīgi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 Pēc Izglītības kvalitātes valsts dienesta sazināšanās ar izglītības iestādi 10 darbdienu laikā ir sagatavoti nepieciešamie labojumi un/vai papildināta nepieciešamā informācija VIIS. </w:t>
            </w:r>
          </w:p>
        </w:tc>
      </w:tr>
      <w:tr w:rsidR="007D72A9" w14:paraId="112995FC" w14:textId="77777777" w:rsidTr="00DA76D7">
        <w:tc>
          <w:tcPr>
            <w:tcW w:w="1538" w:type="dxa"/>
            <w:gridSpan w:val="2"/>
          </w:tcPr>
          <w:p w14:paraId="714121B4" w14:textId="30CFF39C" w:rsidR="007D72A9" w:rsidRDefault="004D75E8">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041CCC">
              <w:rPr>
                <w:rFonts w:ascii="Times New Roman" w:eastAsia="Times New Roman" w:hAnsi="Times New Roman" w:cs="Times New Roman"/>
                <w:bCs/>
                <w:sz w:val="24"/>
                <w:szCs w:val="24"/>
                <w:lang w:eastAsia="lv-LV"/>
              </w:rPr>
              <w:t>.</w:t>
            </w:r>
          </w:p>
        </w:tc>
        <w:tc>
          <w:tcPr>
            <w:tcW w:w="4098" w:type="dxa"/>
          </w:tcPr>
          <w:p w14:paraId="6AB6DEC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iestāde īsteno mūsdienīgu, aktuālu un pieprasītu izglītības programmu. Izglītības iestādei ir sava kārtība, kā regulāri aktualizēt vai izstrādāt jaunu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 nozarē, profesionāļu redzējums un viedoklis, tādējādi izglītības programma izglītojamiem nodrošina iespējas apgūt plašas un mūsdienīgas zināšanas, prasmes un kompetences.</w:t>
            </w:r>
          </w:p>
        </w:tc>
        <w:tc>
          <w:tcPr>
            <w:tcW w:w="4090" w:type="dxa"/>
          </w:tcPr>
          <w:p w14:paraId="048CE018"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Izglītības iestāde īsteno mūsdienīgu, aktuālu un pieprasītu izglītības programmu. Izstrādājot vai aktualizējot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un/vai nozarē, profesionāļu redzējums un viedoklis, tādējādi izglītības programma izglītojamiem nodrošina iespējas apgūt mūsdienīgas nepieciešamās zināšanas, prasmes un kompetences.</w:t>
            </w:r>
          </w:p>
        </w:tc>
        <w:tc>
          <w:tcPr>
            <w:tcW w:w="4320" w:type="dxa"/>
          </w:tcPr>
          <w:p w14:paraId="2B7DB8D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iestāde īsteno vienu vai vairākas izglītības programmas, kuras izstrādājot vai aktualizējot, tiek ņemtas vērā tiesību aktos noteiktās prasības un citi faktori (piemēram, izglītojamo aktuālās vajadzības, intereses, prasmes un priekšzināšanas, jaunākās izglītības attīstības tendences, izmaiņas darba tirgus vajadzībās un nozaru attīstībā). Izglītības iestādes kapacitātes vai resursu ierobežotības dēļ nav iespējams pilnībā nodrošināt mūsdienīgu izglītības programmas īstenošanu, tajā ir nepieciešami turpmāki uzlabojumi vai arī izglītības programmas īstenošanu nepieciešams pārtraukt.</w:t>
            </w:r>
          </w:p>
        </w:tc>
      </w:tr>
      <w:tr w:rsidR="007D72A9" w14:paraId="15AE533C" w14:textId="77777777" w:rsidTr="00DA76D7">
        <w:tc>
          <w:tcPr>
            <w:tcW w:w="1538" w:type="dxa"/>
            <w:gridSpan w:val="2"/>
          </w:tcPr>
          <w:p w14:paraId="036B91A8" w14:textId="7BFA4E22" w:rsidR="007D72A9" w:rsidRDefault="004D75E8">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p>
        </w:tc>
        <w:tc>
          <w:tcPr>
            <w:tcW w:w="4098" w:type="dxa"/>
          </w:tcPr>
          <w:p w14:paraId="50BF9A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iestādē visiem iesaistītajiem (piemēram, administrācijai, pedagogiem, atbalsta personālam, dibinātājam, vecākiem) ir vienota izpratne par tās īstenotās izglītības programmas mērķiem un 1-3 gadu laikā izglītojamiem sasniedzamajiem rezultātiem atbilstoši izglītības satura apguves plānojumam. Izglītības iestāde katru gadu izvērtē izglītības satura apguves kvalitāti, ņem vērā izglītojamo ikdienas mācību sasniegumus un veic nepieciešamās izmaiņas konkrētajai grupai, klasei, kursam vai izglītojamiem un šīs pārmaiņas ievieš visi pedagogi.</w:t>
            </w:r>
          </w:p>
        </w:tc>
        <w:tc>
          <w:tcPr>
            <w:tcW w:w="4090" w:type="dxa"/>
          </w:tcPr>
          <w:p w14:paraId="61A42EE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iestādē lielākajai daļai iesaistīto (piemēram, administrācijai, pedagogiem, atbalsta personālam, dibinātājam, vecākiem) ir vienota izpratne par tās īstenotās izglītības programmas mērķiem un 1-3 gadu laikā sasniedzamajiem rezultātiem atbilstoši izglītības satura apguves plānojumam. Izglītības iestāde ne retāk kā reizi gadā izvērtē izglītības satura apguves kvalitāti, ņem vērā izglītojamo ikdienas mācību sasniegumus, bet konstatēto nepieciešamo pārmaiņu ieviešana izglītības procesa īstenošanā ne vienmēr ir regulāra un/vai tās ievieš lielākā daļa pedagogi.</w:t>
            </w:r>
          </w:p>
        </w:tc>
        <w:tc>
          <w:tcPr>
            <w:tcW w:w="4320" w:type="dxa"/>
          </w:tcPr>
          <w:p w14:paraId="72A7427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pusei vai mazāk kā pusei iesaistīto </w:t>
            </w:r>
            <w:r>
              <w:rPr>
                <w:rFonts w:ascii="Times New Roman" w:hAnsi="Times New Roman" w:cs="Times New Roman"/>
                <w:sz w:val="24"/>
                <w:szCs w:val="24"/>
              </w:rPr>
              <w:t>(piemēram, administrācijai, pedagogiem, atbalsta personālam, dibinātājam, vecākiem) ir vienota izpratne par tās īstenotās izglītības programmas mērķiem un 1-3 gadu laikā sasniedzamajiem rezultātiem atbilstoši izglītības satura apguves plānojumam. Izglītības iestāde retāk kā reizi gadā izvērtē izglītības satura apguves kvalitāti, daļēji ņem vērā izglītojamo ikdienas mācību sasniegumus, kā arī daļēji ievieš nepieciešamās pārmaiņas izglītības procesa īstenošanā un/vai tās ievieš puse vai mazāk pedagogi.</w:t>
            </w:r>
          </w:p>
        </w:tc>
      </w:tr>
      <w:tr w:rsidR="007D72A9" w14:paraId="43F3E9EF" w14:textId="77777777" w:rsidTr="00DA76D7">
        <w:tc>
          <w:tcPr>
            <w:tcW w:w="1538" w:type="dxa"/>
            <w:gridSpan w:val="2"/>
          </w:tcPr>
          <w:p w14:paraId="5BBBE3A9" w14:textId="743FBC77" w:rsidR="007D72A9" w:rsidRDefault="004D75E8">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041CCC">
              <w:rPr>
                <w:rFonts w:ascii="Times New Roman" w:eastAsia="Times New Roman" w:hAnsi="Times New Roman" w:cs="Times New Roman"/>
                <w:bCs/>
                <w:sz w:val="24"/>
                <w:szCs w:val="24"/>
                <w:lang w:eastAsia="lv-LV"/>
              </w:rPr>
              <w:t>.</w:t>
            </w:r>
          </w:p>
        </w:tc>
        <w:tc>
          <w:tcPr>
            <w:tcW w:w="4098" w:type="dxa"/>
          </w:tcPr>
          <w:p w14:paraId="5219B37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Gandrīz visi pedagogi (ne mazāk kā 90%) plānveidīgi sadarbojas izglītības </w:t>
            </w:r>
            <w:r>
              <w:rPr>
                <w:rFonts w:ascii="Times New Roman" w:eastAsia="Times New Roman" w:hAnsi="Times New Roman" w:cs="Times New Roman"/>
                <w:bCs/>
                <w:sz w:val="24"/>
                <w:szCs w:val="24"/>
                <w:lang w:eastAsia="lv-LV"/>
              </w:rPr>
              <w:lastRenderedPageBreak/>
              <w:t xml:space="preserve">programmas īstenošanā,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Gandrīz visi pedagogi (ne mazāk kā 90%)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090" w:type="dxa"/>
          </w:tcPr>
          <w:p w14:paraId="3F05E937"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Lielākā daļa pedagogu (ne mazāk kā 70%) plānveidīgi sadarbojas izglītības </w:t>
            </w:r>
            <w:r>
              <w:rPr>
                <w:rFonts w:ascii="Times New Roman" w:eastAsia="Times New Roman" w:hAnsi="Times New Roman" w:cs="Times New Roman"/>
                <w:bCs/>
                <w:sz w:val="24"/>
                <w:szCs w:val="24"/>
                <w:lang w:eastAsia="lv-LV"/>
              </w:rPr>
              <w:lastRenderedPageBreak/>
              <w:t xml:space="preserve">programmas īstenošanā,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Lielākā daļa pedagogu (ne mazāk kā 70%)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320" w:type="dxa"/>
          </w:tcPr>
          <w:p w14:paraId="60D0C3C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Vismaz puse pedagogu sadarbojas izglītības programmas īstenošanā, tādējādi </w:t>
            </w:r>
            <w:r>
              <w:rPr>
                <w:rFonts w:ascii="Times New Roman" w:eastAsia="Times New Roman" w:hAnsi="Times New Roman" w:cs="Times New Roman"/>
                <w:bCs/>
                <w:sz w:val="24"/>
                <w:szCs w:val="24"/>
                <w:lang w:eastAsia="lv-LV"/>
              </w:rPr>
              <w:lastRenderedPageBreak/>
              <w:t xml:space="preserve">pamatā nodrošinot vai daļēji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Pedagogi (ne mazāk kā 50%)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r>
      <w:tr w:rsidR="007D72A9" w14:paraId="4F8D30E1" w14:textId="77777777" w:rsidTr="00DA76D7">
        <w:tc>
          <w:tcPr>
            <w:tcW w:w="1538" w:type="dxa"/>
            <w:gridSpan w:val="2"/>
          </w:tcPr>
          <w:p w14:paraId="7F624F96" w14:textId="21ED83D4" w:rsidR="007D72A9" w:rsidRDefault="004D75E8">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041CCC">
              <w:rPr>
                <w:rFonts w:ascii="Times New Roman" w:eastAsia="Times New Roman" w:hAnsi="Times New Roman" w:cs="Times New Roman"/>
                <w:bCs/>
                <w:sz w:val="24"/>
                <w:szCs w:val="24"/>
                <w:lang w:eastAsia="lv-LV"/>
              </w:rPr>
              <w:t>.</w:t>
            </w:r>
          </w:p>
        </w:tc>
        <w:tc>
          <w:tcPr>
            <w:tcW w:w="4098" w:type="dxa"/>
          </w:tcPr>
          <w:p w14:paraId="79941E8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izvērtējusi darba plānā iekļauto pasākumu efektivitāti. Izglītības iestādē organizētie mācību un/vai ārpusstundu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Izglītības iestādē atbildība par mācību un/vai ārpusstundu pasākumiem tiek deleģēta, pedagogi un izglītojamie </w:t>
            </w:r>
            <w:proofErr w:type="spellStart"/>
            <w:r>
              <w:rPr>
                <w:rFonts w:ascii="Times New Roman" w:eastAsia="Times New Roman" w:hAnsi="Times New Roman" w:cs="Times New Roman"/>
                <w:bCs/>
                <w:sz w:val="24"/>
                <w:szCs w:val="24"/>
                <w:lang w:eastAsia="lv-LV"/>
              </w:rPr>
              <w:t>proaktīvi</w:t>
            </w:r>
            <w:proofErr w:type="spellEnd"/>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lastRenderedPageBreak/>
              <w:t xml:space="preserve">iesaistās šo pasākumu sagatavošanā un īstenošanā. </w:t>
            </w:r>
          </w:p>
        </w:tc>
        <w:tc>
          <w:tcPr>
            <w:tcW w:w="4090" w:type="dxa"/>
          </w:tcPr>
          <w:p w14:paraId="4265318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izvērtē darba plānā iekļauto pasākumu / aktivitāšu efektivitāti, tomēr dažkārt plānoto aktivitāšu skaits ir pārāk liels, tas var ietekmēt izglītības programmas īstenošanas apjomu un/vai kvalitāti. Kopumā izglītības iestādē organizētie mācību un/vai ārpusstundu pasākumi ir pārdomāti, iekļaujas izglītības programmas mērķu sasniegšanā un papildina ikdienas mācību un audzināšanas procesu. Pedagogiem ir vienota izpratne par to, kādēļ tiek rīkots konkrētais pasākums (piemēram, koncerts, ekskursija, konkurss, sporta diena utt.) un kāds ir tā mērķis. Atbildība </w:t>
            </w:r>
            <w:r>
              <w:rPr>
                <w:rFonts w:ascii="Times New Roman" w:eastAsia="Times New Roman" w:hAnsi="Times New Roman" w:cs="Times New Roman"/>
                <w:bCs/>
                <w:sz w:val="24"/>
                <w:szCs w:val="24"/>
                <w:lang w:eastAsia="lv-LV"/>
              </w:rPr>
              <w:lastRenderedPageBreak/>
              <w:t xml:space="preserve">par mācību un/vai ārpusstundu pasākumiem pamatā ir pedagogiem un/vai administrācijas/vadības darbiniekiem. </w:t>
            </w:r>
          </w:p>
        </w:tc>
        <w:tc>
          <w:tcPr>
            <w:tcW w:w="4320" w:type="dxa"/>
          </w:tcPr>
          <w:p w14:paraId="3F2A29A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Lai arī izglītības iestādē organizētie mācību un/vai ārpusstundu pasākumi lielākoties ir pārdomāti un iekļaujas izglītības programmas mērķu sasniegšanā, papildinot un dažādojot ikdienas mācību un audzināšanas procesu, tomēr tie ne vienmēr ir efektīvi vai arī to ir pārāk daudz, kas ietekmē arī izglītības programmas apguves apjomu un/vai kvalitāti. Pedagogiem ir atšķirīga izpratne par atsevišķu pasākumu lietderību, par to, kādēļ tiek rīkots konkrētais pasākums (piemēram, koncerts, ekskursija, konkurss, sporta diena utt.) un/vai nav pilnīgas skaidrības par to, kāds ir tā mērķis. Atbildība par mācību un/vai ārpusstundu </w:t>
            </w:r>
            <w:r>
              <w:rPr>
                <w:rFonts w:ascii="Times New Roman" w:eastAsia="Times New Roman" w:hAnsi="Times New Roman" w:cs="Times New Roman"/>
                <w:bCs/>
                <w:sz w:val="24"/>
                <w:szCs w:val="24"/>
                <w:lang w:eastAsia="lv-LV"/>
              </w:rPr>
              <w:lastRenderedPageBreak/>
              <w:t>pasākumiem ir pedagogiem un/vai administrācijai/vadībai.</w:t>
            </w:r>
          </w:p>
        </w:tc>
      </w:tr>
      <w:tr w:rsidR="007D72A9" w14:paraId="450F9F11" w14:textId="77777777" w:rsidTr="00DA76D7">
        <w:tc>
          <w:tcPr>
            <w:tcW w:w="1538" w:type="dxa"/>
            <w:gridSpan w:val="2"/>
          </w:tcPr>
          <w:p w14:paraId="76990492" w14:textId="4FF0B36F" w:rsidR="007D72A9" w:rsidRDefault="004D75E8">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6</w:t>
            </w:r>
            <w:r w:rsidR="00041CCC">
              <w:rPr>
                <w:rFonts w:ascii="Times New Roman" w:eastAsia="Times New Roman" w:hAnsi="Times New Roman" w:cs="Times New Roman"/>
                <w:bCs/>
                <w:sz w:val="24"/>
                <w:szCs w:val="24"/>
                <w:lang w:eastAsia="lv-LV"/>
              </w:rPr>
              <w:t>.</w:t>
            </w:r>
          </w:p>
        </w:tc>
        <w:tc>
          <w:tcPr>
            <w:tcW w:w="4098" w:type="dxa"/>
          </w:tcPr>
          <w:p w14:paraId="6751574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gada  un mācību posmu sākuma un beigu laiks vienmēr tiek izmantots efektīvi un produktīvi, lai sasniegtu mācību mērķus, to apliecina izglītības iestādes darba plānojums un šajā laikā paveiktais.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pēc nepieciešamības uzklausot visas iesaistītās puses (piemēram, pedagogus, izglītojamos u.tml.).</w:t>
            </w:r>
          </w:p>
        </w:tc>
        <w:tc>
          <w:tcPr>
            <w:tcW w:w="4090" w:type="dxa"/>
          </w:tcPr>
          <w:p w14:paraId="368D99D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gada un mācību posmu sākuma un beigu laiks lielākoties tiek izmantots efektīvi un produktīvi, lai sasniegtu mācību mērķus.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uzklausot iesaistīto pušu (piemēram, pedagogu, izglītojamo u.tml.) redzējumu.</w:t>
            </w:r>
          </w:p>
        </w:tc>
        <w:tc>
          <w:tcPr>
            <w:tcW w:w="4320" w:type="dxa"/>
          </w:tcPr>
          <w:p w14:paraId="71542B5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gada  un mācību posmu sākuma un beigu laiks lielākoties tiek izmantots efektīvi un produktīvi, lai sasniegtu mācību mērķus, tomēr ir gadījumi, kad tas neizdodas un izglītības iestāde konstatē, kādi uzlabojumi nepieciešami. Izglītības iestādes darba organizācija pamatā ir izplānota tā, lai izglītojamiem un pedagogiem ir iespējams savlaicīgi  ierasties uz mācību stundām/nodarbībām, sagatavoties tām un visu paredzēto laiku veltīt produktīvam mācību darbam, tomēr dažādu grūti novēršamu šķēršļu dēļ to dažkārt ir sarežģīti īstenot (piemēram, vairākas filiāles, vairākas ēkas, ēdnīcas darba ierobežojumi u.c.). Izglītības iestādes vadība iesaistās un risina šādus gadījumus, bet ne vienmēr izdodas atrast veiksmīgāko iespējamo risinājumu.</w:t>
            </w:r>
          </w:p>
        </w:tc>
      </w:tr>
      <w:tr w:rsidR="007D72A9" w14:paraId="7CFC9E6A" w14:textId="77777777" w:rsidTr="00DA76D7">
        <w:tc>
          <w:tcPr>
            <w:tcW w:w="1538" w:type="dxa"/>
            <w:gridSpan w:val="2"/>
          </w:tcPr>
          <w:p w14:paraId="12EA634A" w14:textId="5B7706DE" w:rsidR="007D72A9" w:rsidRDefault="004D75E8">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B6106B">
              <w:rPr>
                <w:rFonts w:ascii="Times New Roman" w:eastAsia="Times New Roman" w:hAnsi="Times New Roman" w:cs="Times New Roman"/>
                <w:bCs/>
                <w:sz w:val="24"/>
                <w:szCs w:val="24"/>
                <w:lang w:eastAsia="lv-LV"/>
              </w:rPr>
              <w:t>7</w:t>
            </w:r>
            <w:r w:rsidR="00041CCC">
              <w:rPr>
                <w:rFonts w:ascii="Times New Roman" w:eastAsia="Times New Roman" w:hAnsi="Times New Roman" w:cs="Times New Roman"/>
                <w:bCs/>
                <w:sz w:val="24"/>
                <w:szCs w:val="24"/>
                <w:lang w:eastAsia="lv-LV"/>
              </w:rPr>
              <w:t>.</w:t>
            </w:r>
          </w:p>
        </w:tc>
        <w:tc>
          <w:tcPr>
            <w:tcW w:w="4098" w:type="dxa"/>
          </w:tcPr>
          <w:p w14:paraId="44EFD78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kvalitatīvu izglītības programmas apguvi visās izglītības programmas īstenošanas vietās (struktūrvienībās/filiālēs),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kā arī atklāj izglītības iestādes veiktais izglītības programmas salīdzinošais kvalitātes izvērtējums visās tās īstenošanās vietās. Izglītības iestādes pedagogi regulāri sadarbojas izglītības programmas īstenošanā un metodiskajā darbā, </w:t>
            </w:r>
            <w:r>
              <w:rPr>
                <w:rFonts w:ascii="Times New Roman" w:eastAsia="Times New Roman" w:hAnsi="Times New Roman" w:cs="Times New Roman"/>
                <w:bCs/>
                <w:sz w:val="24"/>
                <w:szCs w:val="24"/>
                <w:lang w:eastAsia="lv-LV"/>
              </w:rPr>
              <w:lastRenderedPageBreak/>
              <w:t>īstenojot vienotu organizatorisko, didaktisko un metodisko pieeju visā izglītības iestādē/izglītības programmas īstenošanas vietās. Visās izglītības programmas īstenošanas vietās ir atbilstošs un vienlīdz kvalitatīvs nodrošinājums ar resursiem un infrastruktūru.</w:t>
            </w:r>
          </w:p>
        </w:tc>
        <w:tc>
          <w:tcPr>
            <w:tcW w:w="4090" w:type="dxa"/>
          </w:tcPr>
          <w:p w14:paraId="402C91D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nodrošina kvalitatīvu izglītības programmas apguvi dažādās tās izglītības programmas īstenošanas vietās (struktūrvienībās/filiālēs), un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Izglītības iestādes pedagogi sadarbojas izglītības programmas īstenošanā un metodiskajā darbā, īstenojot vienotu organizatorisko, didaktisko un metodisko pieeju visā izglītības iestādē/izglītības programmas īstenošanas vietās. Dažādās izglītības </w:t>
            </w:r>
            <w:r>
              <w:rPr>
                <w:rFonts w:ascii="Times New Roman" w:eastAsia="Times New Roman" w:hAnsi="Times New Roman" w:cs="Times New Roman"/>
                <w:bCs/>
                <w:sz w:val="24"/>
                <w:szCs w:val="24"/>
                <w:lang w:eastAsia="lv-LV"/>
              </w:rPr>
              <w:lastRenderedPageBreak/>
              <w:t>programmas īstenošanas vietās (struktūrvienībās/filiālēs) ir atšķirīgs nodrošinājums ar resursiem un infrastruktūru, bet tas ir atbilstošs, lai kvalitatīvi īstenotu izglītības programmu.</w:t>
            </w:r>
          </w:p>
        </w:tc>
        <w:tc>
          <w:tcPr>
            <w:tcW w:w="4320" w:type="dxa"/>
          </w:tcPr>
          <w:p w14:paraId="08E2B9C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izglītības programmas apguvi dažādās izglītības programmas īstenošanas vietās (struktūrvienībās/filiālēs) nodrošina ar atšķirīgu kvalitāti,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Izglītības iestādes pedagogi nepietiekami sadarbojas izglītības programmas īstenošanā un/vai metodiskajā darbā, tādējādi nodrošinot atšķirīgu izglītības programmas apguves kvalitāti dažādās izglītības programmas īstenošanas vietās </w:t>
            </w:r>
            <w:r>
              <w:rPr>
                <w:rFonts w:ascii="Times New Roman" w:eastAsia="Times New Roman" w:hAnsi="Times New Roman" w:cs="Times New Roman"/>
                <w:bCs/>
                <w:sz w:val="24"/>
                <w:szCs w:val="24"/>
                <w:lang w:eastAsia="lv-LV"/>
              </w:rPr>
              <w:lastRenderedPageBreak/>
              <w:t>(struktūrvienībās/filiālēs). Pedagogiem nav vienotas organizatoriskās, didaktiskās un metodiskās pieejas izglītības programmas īstenošanā. Dažādās izglītības programmas īstenošanas vietās (struktūrvienībās/filiālēs) ir atšķirīgs nodrošinājums ar resursiem un infrastruktūru, un tas ietekmē izglītības programmas īstenošanas kvalitāti.</w:t>
            </w:r>
          </w:p>
        </w:tc>
      </w:tr>
      <w:tr w:rsidR="007D72A9" w14:paraId="3E22EDA2" w14:textId="77777777" w:rsidTr="00DA76D7">
        <w:tc>
          <w:tcPr>
            <w:tcW w:w="1538" w:type="dxa"/>
            <w:gridSpan w:val="2"/>
          </w:tcPr>
          <w:p w14:paraId="29E1FC08" w14:textId="7E023FE5" w:rsidR="007D72A9" w:rsidRDefault="004D75E8">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B6106B">
              <w:rPr>
                <w:rFonts w:ascii="Times New Roman" w:eastAsia="Times New Roman" w:hAnsi="Times New Roman" w:cs="Times New Roman"/>
                <w:bCs/>
                <w:sz w:val="24"/>
                <w:szCs w:val="24"/>
                <w:lang w:eastAsia="lv-LV"/>
              </w:rPr>
              <w:t>8</w:t>
            </w:r>
            <w:r w:rsidR="00041CCC">
              <w:rPr>
                <w:rFonts w:ascii="Times New Roman" w:eastAsia="Times New Roman" w:hAnsi="Times New Roman" w:cs="Times New Roman"/>
                <w:bCs/>
                <w:sz w:val="24"/>
                <w:szCs w:val="24"/>
                <w:lang w:eastAsia="lv-LV"/>
              </w:rPr>
              <w:t>.</w:t>
            </w:r>
          </w:p>
        </w:tc>
        <w:tc>
          <w:tcPr>
            <w:tcW w:w="4098" w:type="dxa"/>
          </w:tcPr>
          <w:p w14:paraId="5D8E8078" w14:textId="2D13B27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sadarbībā ar dibinātāju ir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sasniegumus ikdienas mācībās, (v) izglītojamo sasniegumus valsts pārbaudes darbos. Iegūtie izvērtējuma rezultāti apliecina esošās izglītības pakāpes izglītības programmas nepieciešamību izglītības iestādē un izglītības iestādes iespējas sasniegt un nodrošināt nepieciešamo izglītības kvalitāti izglītības programmas īstenošanā.</w:t>
            </w:r>
          </w:p>
        </w:tc>
        <w:tc>
          <w:tcPr>
            <w:tcW w:w="4090" w:type="dxa"/>
          </w:tcPr>
          <w:p w14:paraId="3EE352F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mācību sasniegumus ikdienas darbā, (v) izglītojamo sasniegumus valsts pārbaudes darbos. Iegūtie izvērtējuma rezultāti norāda uz vienu līdz diviem iespējamajiem izaicinājumiem, kas liecina par nepieciešamību: (i) pilnveidot izglītības programmas īstenošanas kvalitāti tuvāko 2 gadu laikā un/vai (ii) pārskatīt izglītības programmas piedāvājumu, 3-5 gadu laikā pārstājot tās īstenošanu izglītības iestādē, un/vai (iii)  pārskatīt izglītības iestādes darbības veidu, tai skaitā </w:t>
            </w:r>
            <w:r>
              <w:rPr>
                <w:rFonts w:ascii="Times New Roman" w:eastAsia="Times New Roman" w:hAnsi="Times New Roman" w:cs="Times New Roman"/>
                <w:bCs/>
                <w:sz w:val="24"/>
                <w:szCs w:val="24"/>
                <w:lang w:eastAsia="lv-LV"/>
              </w:rPr>
              <w:lastRenderedPageBreak/>
              <w:t xml:space="preserve">izglītības pakāpes,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un/vai izglītības ieguves formas, ar kurām izglītības iestāde darbojas, īstenojot izglītības programmas. </w:t>
            </w:r>
          </w:p>
        </w:tc>
        <w:tc>
          <w:tcPr>
            <w:tcW w:w="4320" w:type="dxa"/>
          </w:tcPr>
          <w:p w14:paraId="31F2794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sadarbībā ar dibinātāju ir vai daļēji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mācību sasniegumus ikdienas darbā, (v) izglītojamo sasniegumus valsts pārbaudes darbos. Iegūtie izvērtējuma rezultāti norāda uz trīs un vairāk faktoriem, kuru dēļ būtu nepieciešams: (i) pārtraukt izglītības programmas īstenošanu 1-2 gadu laikā vai atteikt izglītības programmas akreditāciju, (ii) 1-2 gadu laikā pārskatīt izglītības iestādes darbības veidu, tai skaitā izglītības pakāpes,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un/vai izglītības ieguves formas, ar kurām izglītības iestāde darbojas, īstenojot izglītības programmas. </w:t>
            </w:r>
          </w:p>
        </w:tc>
      </w:tr>
      <w:tr w:rsidR="00DA76D7" w14:paraId="07593CEA" w14:textId="77777777" w:rsidTr="00DA76D7">
        <w:trPr>
          <w:gridAfter w:val="4"/>
          <w:wAfter w:w="13810" w:type="dxa"/>
        </w:trPr>
        <w:tc>
          <w:tcPr>
            <w:tcW w:w="236" w:type="dxa"/>
            <w:tcBorders>
              <w:top w:val="nil"/>
              <w:left w:val="nil"/>
              <w:bottom w:val="nil"/>
              <w:right w:val="nil"/>
            </w:tcBorders>
          </w:tcPr>
          <w:p w14:paraId="105AD2E4" w14:textId="77777777" w:rsidR="00DA76D7" w:rsidRDefault="00DA76D7">
            <w:pPr>
              <w:rPr>
                <w:rFonts w:ascii="Calibri" w:eastAsia="Calibri" w:hAnsi="Calibri"/>
              </w:rPr>
            </w:pPr>
          </w:p>
        </w:tc>
      </w:tr>
      <w:tr w:rsidR="00DA76D7" w14:paraId="125E2C3B" w14:textId="77777777" w:rsidTr="00DA76D7">
        <w:trPr>
          <w:gridAfter w:val="4"/>
          <w:wAfter w:w="13810" w:type="dxa"/>
        </w:trPr>
        <w:tc>
          <w:tcPr>
            <w:tcW w:w="236" w:type="dxa"/>
            <w:tcBorders>
              <w:top w:val="nil"/>
              <w:left w:val="nil"/>
              <w:bottom w:val="nil"/>
              <w:right w:val="nil"/>
            </w:tcBorders>
          </w:tcPr>
          <w:p w14:paraId="1D604C5C" w14:textId="77777777" w:rsidR="00DA76D7" w:rsidRDefault="00DA76D7">
            <w:pPr>
              <w:rPr>
                <w:rFonts w:ascii="Calibri" w:eastAsia="Calibri" w:hAnsi="Calibri"/>
              </w:rPr>
            </w:pPr>
          </w:p>
        </w:tc>
      </w:tr>
    </w:tbl>
    <w:p w14:paraId="6EA89F40" w14:textId="423DA618" w:rsidR="007D72A9" w:rsidRDefault="007D72A9" w:rsidP="003817EC">
      <w:pPr>
        <w:spacing w:after="0" w:line="240" w:lineRule="auto"/>
        <w:outlineLvl w:val="0"/>
        <w:rPr>
          <w:rFonts w:ascii="Times New Roman" w:eastAsia="Times New Roman" w:hAnsi="Times New Roman" w:cs="Times New Roman"/>
          <w:bCs/>
          <w:sz w:val="32"/>
          <w:szCs w:val="32"/>
          <w:lang w:eastAsia="lv-LV"/>
        </w:rPr>
      </w:pPr>
    </w:p>
    <w:sectPr w:rsidR="007D72A9">
      <w:headerReference w:type="even" r:id="rId8"/>
      <w:headerReference w:type="default" r:id="rId9"/>
      <w:footerReference w:type="even" r:id="rId10"/>
      <w:footerReference w:type="default" r:id="rId11"/>
      <w:headerReference w:type="first" r:id="rId12"/>
      <w:footerReference w:type="first" r:id="rId13"/>
      <w:pgSz w:w="15840" w:h="12240" w:orient="landscape"/>
      <w:pgMar w:top="765" w:right="814" w:bottom="993" w:left="1440" w:header="708" w:footer="23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8468" w14:textId="77777777" w:rsidR="00775D5D" w:rsidRDefault="00775D5D">
      <w:pPr>
        <w:spacing w:after="0" w:line="240" w:lineRule="auto"/>
      </w:pPr>
      <w:r>
        <w:separator/>
      </w:r>
    </w:p>
  </w:endnote>
  <w:endnote w:type="continuationSeparator" w:id="0">
    <w:p w14:paraId="7BB311A4" w14:textId="77777777" w:rsidR="00775D5D" w:rsidRDefault="0077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78BD" w14:textId="77777777" w:rsidR="000A288F" w:rsidRDefault="000A288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A0B3" w14:textId="67AE984B" w:rsidR="00AF632C" w:rsidRPr="00FB342B" w:rsidRDefault="00FB342B" w:rsidP="00AF632C">
    <w:pPr>
      <w:pStyle w:val="Kjene"/>
      <w:rPr>
        <w:rFonts w:ascii="Times New Roman" w:hAnsi="Times New Roman" w:cs="Times New Roman"/>
        <w:i/>
        <w:iCs/>
        <w:sz w:val="20"/>
        <w:szCs w:val="20"/>
      </w:rPr>
    </w:pPr>
    <w:r w:rsidRPr="00FB342B">
      <w:rPr>
        <w:rFonts w:ascii="Times New Roman" w:hAnsi="Times New Roman" w:cs="Times New Roman"/>
        <w:i/>
        <w:iCs/>
        <w:sz w:val="20"/>
        <w:szCs w:val="20"/>
      </w:rPr>
      <w:t>*</w:t>
    </w:r>
    <w:r w:rsidR="00F24D64" w:rsidRPr="00FB342B">
      <w:rPr>
        <w:rFonts w:ascii="Times New Roman" w:hAnsi="Times New Roman" w:cs="Times New Roman"/>
        <w:i/>
        <w:iCs/>
        <w:sz w:val="20"/>
        <w:szCs w:val="20"/>
      </w:rPr>
      <w:t xml:space="preserve">Izglītības kvalitātes </w:t>
    </w:r>
    <w:r w:rsidR="00AF632C" w:rsidRPr="00FB342B">
      <w:rPr>
        <w:rFonts w:ascii="Times New Roman" w:hAnsi="Times New Roman" w:cs="Times New Roman"/>
        <w:i/>
        <w:iCs/>
        <w:sz w:val="20"/>
        <w:szCs w:val="20"/>
      </w:rPr>
      <w:t>vērtē</w:t>
    </w:r>
    <w:r w:rsidR="000A288F" w:rsidRPr="00FB342B">
      <w:rPr>
        <w:rFonts w:ascii="Times New Roman" w:hAnsi="Times New Roman" w:cs="Times New Roman"/>
        <w:i/>
        <w:iCs/>
        <w:sz w:val="20"/>
        <w:szCs w:val="20"/>
      </w:rPr>
      <w:t xml:space="preserve">juma līmeņu </w:t>
    </w:r>
    <w:r w:rsidR="00AF632C" w:rsidRPr="00FB342B">
      <w:rPr>
        <w:rFonts w:ascii="Times New Roman" w:hAnsi="Times New Roman" w:cs="Times New Roman"/>
        <w:i/>
        <w:iCs/>
        <w:sz w:val="20"/>
        <w:szCs w:val="20"/>
      </w:rPr>
      <w:t>apraksts paredzēts profesionālās ievirzes izglītības iestādēm (sportā)</w:t>
    </w:r>
  </w:p>
  <w:p w14:paraId="08AE7951" w14:textId="47C0E55E" w:rsidR="00AF632C" w:rsidRDefault="00AF632C">
    <w:pPr>
      <w:pStyle w:val="Kjene"/>
    </w:pPr>
  </w:p>
  <w:p w14:paraId="534A2F89" w14:textId="77777777" w:rsidR="007D72A9" w:rsidRDefault="007D72A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17021"/>
      <w:docPartObj>
        <w:docPartGallery w:val="Page Numbers (Bottom of Page)"/>
        <w:docPartUnique/>
      </w:docPartObj>
    </w:sdtPr>
    <w:sdtContent>
      <w:p w14:paraId="53C0E106" w14:textId="77777777" w:rsidR="007D72A9" w:rsidRDefault="007443E3">
        <w:pPr>
          <w:pStyle w:val="Kjen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t>5</w:t>
        </w:r>
        <w:r>
          <w:rPr>
            <w:rFonts w:ascii="Times New Roman" w:hAnsi="Times New Roman" w:cs="Times New Roman"/>
          </w:rPr>
          <w:fldChar w:fldCharType="end"/>
        </w:r>
      </w:p>
    </w:sdtContent>
  </w:sdt>
  <w:p w14:paraId="29858B1B" w14:textId="77777777" w:rsidR="007D72A9" w:rsidRDefault="007D72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4925" w14:textId="77777777" w:rsidR="00775D5D" w:rsidRDefault="00775D5D">
      <w:pPr>
        <w:rPr>
          <w:sz w:val="12"/>
        </w:rPr>
      </w:pPr>
      <w:r>
        <w:separator/>
      </w:r>
    </w:p>
  </w:footnote>
  <w:footnote w:type="continuationSeparator" w:id="0">
    <w:p w14:paraId="4FD9E334" w14:textId="77777777" w:rsidR="00775D5D" w:rsidRDefault="00775D5D">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F2B3" w14:textId="77777777" w:rsidR="000A288F" w:rsidRDefault="000A288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2ED1" w14:textId="77777777" w:rsidR="000A288F" w:rsidRDefault="000A288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3323" w14:textId="77777777" w:rsidR="000A288F" w:rsidRDefault="000A288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55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1" w15:restartNumberingAfterBreak="0">
    <w:nsid w:val="1110491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2" w15:restartNumberingAfterBreak="0">
    <w:nsid w:val="16C94A55"/>
    <w:multiLevelType w:val="multilevel"/>
    <w:tmpl w:val="BF20CF7A"/>
    <w:lvl w:ilvl="0">
      <w:start w:val="2"/>
      <w:numFmt w:val="decimal"/>
      <w:lvlText w:val="%1."/>
      <w:lvlJc w:val="left"/>
      <w:pPr>
        <w:ind w:left="540" w:hanging="540"/>
      </w:pPr>
      <w:rPr>
        <w:rFonts w:eastAsiaTheme="minorHAnsi" w:hint="default"/>
        <w:sz w:val="24"/>
      </w:rPr>
    </w:lvl>
    <w:lvl w:ilvl="1">
      <w:start w:val="2"/>
      <w:numFmt w:val="decimal"/>
      <w:lvlText w:val="%1.%2."/>
      <w:lvlJc w:val="left"/>
      <w:pPr>
        <w:ind w:left="1440" w:hanging="720"/>
      </w:pPr>
      <w:rPr>
        <w:rFonts w:eastAsiaTheme="minorHAnsi" w:hint="default"/>
        <w:sz w:val="24"/>
      </w:rPr>
    </w:lvl>
    <w:lvl w:ilvl="2">
      <w:start w:val="1"/>
      <w:numFmt w:val="decimal"/>
      <w:lvlText w:val="%1.%2.%3."/>
      <w:lvlJc w:val="left"/>
      <w:pPr>
        <w:ind w:left="2160" w:hanging="720"/>
      </w:pPr>
      <w:rPr>
        <w:rFonts w:eastAsiaTheme="minorHAnsi" w:hint="default"/>
        <w:sz w:val="24"/>
      </w:rPr>
    </w:lvl>
    <w:lvl w:ilvl="3">
      <w:start w:val="1"/>
      <w:numFmt w:val="decimal"/>
      <w:lvlText w:val="%1.%2.%3.%4."/>
      <w:lvlJc w:val="left"/>
      <w:pPr>
        <w:ind w:left="3240" w:hanging="1080"/>
      </w:pPr>
      <w:rPr>
        <w:rFonts w:eastAsiaTheme="minorHAnsi" w:hint="default"/>
        <w:sz w:val="24"/>
      </w:rPr>
    </w:lvl>
    <w:lvl w:ilvl="4">
      <w:start w:val="1"/>
      <w:numFmt w:val="decimal"/>
      <w:lvlText w:val="%1.%2.%3.%4.%5."/>
      <w:lvlJc w:val="left"/>
      <w:pPr>
        <w:ind w:left="3960" w:hanging="1080"/>
      </w:pPr>
      <w:rPr>
        <w:rFonts w:eastAsiaTheme="minorHAnsi" w:hint="default"/>
        <w:sz w:val="24"/>
      </w:rPr>
    </w:lvl>
    <w:lvl w:ilvl="5">
      <w:start w:val="1"/>
      <w:numFmt w:val="decimal"/>
      <w:lvlText w:val="%1.%2.%3.%4.%5.%6."/>
      <w:lvlJc w:val="left"/>
      <w:pPr>
        <w:ind w:left="5040" w:hanging="1440"/>
      </w:pPr>
      <w:rPr>
        <w:rFonts w:eastAsiaTheme="minorHAnsi" w:hint="default"/>
        <w:sz w:val="24"/>
      </w:rPr>
    </w:lvl>
    <w:lvl w:ilvl="6">
      <w:start w:val="1"/>
      <w:numFmt w:val="decimal"/>
      <w:lvlText w:val="%1.%2.%3.%4.%5.%6.%7."/>
      <w:lvlJc w:val="left"/>
      <w:pPr>
        <w:ind w:left="6120" w:hanging="1800"/>
      </w:pPr>
      <w:rPr>
        <w:rFonts w:eastAsiaTheme="minorHAnsi" w:hint="default"/>
        <w:sz w:val="24"/>
      </w:rPr>
    </w:lvl>
    <w:lvl w:ilvl="7">
      <w:start w:val="1"/>
      <w:numFmt w:val="decimal"/>
      <w:lvlText w:val="%1.%2.%3.%4.%5.%6.%7.%8."/>
      <w:lvlJc w:val="left"/>
      <w:pPr>
        <w:ind w:left="6840" w:hanging="1800"/>
      </w:pPr>
      <w:rPr>
        <w:rFonts w:eastAsiaTheme="minorHAnsi" w:hint="default"/>
        <w:sz w:val="24"/>
      </w:rPr>
    </w:lvl>
    <w:lvl w:ilvl="8">
      <w:start w:val="1"/>
      <w:numFmt w:val="decimal"/>
      <w:lvlText w:val="%1.%2.%3.%4.%5.%6.%7.%8.%9."/>
      <w:lvlJc w:val="left"/>
      <w:pPr>
        <w:ind w:left="7920" w:hanging="2160"/>
      </w:pPr>
      <w:rPr>
        <w:rFonts w:eastAsiaTheme="minorHAnsi" w:hint="default"/>
        <w:sz w:val="24"/>
      </w:rPr>
    </w:lvl>
  </w:abstractNum>
  <w:abstractNum w:abstractNumId="3" w15:restartNumberingAfterBreak="0">
    <w:nsid w:val="1EF440A3"/>
    <w:multiLevelType w:val="multilevel"/>
    <w:tmpl w:val="BF1292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194749D"/>
    <w:multiLevelType w:val="multilevel"/>
    <w:tmpl w:val="DDDCE37A"/>
    <w:lvl w:ilvl="0">
      <w:start w:val="3"/>
      <w:numFmt w:val="decimal"/>
      <w:lvlText w:val="%1."/>
      <w:lvlJc w:val="left"/>
      <w:pPr>
        <w:ind w:left="540" w:hanging="540"/>
      </w:pPr>
      <w:rPr>
        <w:rFonts w:eastAsiaTheme="minorHAnsi" w:hint="default"/>
        <w:sz w:val="24"/>
      </w:rPr>
    </w:lvl>
    <w:lvl w:ilvl="1">
      <w:start w:val="3"/>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5" w15:restartNumberingAfterBreak="0">
    <w:nsid w:val="219D3FED"/>
    <w:multiLevelType w:val="multilevel"/>
    <w:tmpl w:val="67127F9E"/>
    <w:lvl w:ilvl="0">
      <w:start w:val="3"/>
      <w:numFmt w:val="decimal"/>
      <w:lvlText w:val="%1."/>
      <w:lvlJc w:val="left"/>
      <w:pPr>
        <w:ind w:left="540" w:hanging="540"/>
      </w:pPr>
      <w:rPr>
        <w:rFonts w:hint="default"/>
      </w:rPr>
    </w:lvl>
    <w:lvl w:ilvl="1">
      <w:start w:val="2"/>
      <w:numFmt w:val="decimal"/>
      <w:lvlText w:val="%1.%2."/>
      <w:lvlJc w:val="left"/>
      <w:pPr>
        <w:ind w:left="117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31F24DCB"/>
    <w:multiLevelType w:val="multilevel"/>
    <w:tmpl w:val="77907252"/>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59A08CA"/>
    <w:multiLevelType w:val="multilevel"/>
    <w:tmpl w:val="B0D2F4D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A511F3"/>
    <w:multiLevelType w:val="multilevel"/>
    <w:tmpl w:val="B8727946"/>
    <w:lvl w:ilvl="0">
      <w:start w:val="1"/>
      <w:numFmt w:val="decimal"/>
      <w:lvlText w:val="%1."/>
      <w:lvlJc w:val="left"/>
      <w:pPr>
        <w:ind w:left="720" w:hanging="720"/>
      </w:pPr>
      <w:rPr>
        <w:rFonts w:eastAsiaTheme="minorHAnsi" w:hint="default"/>
      </w:rPr>
    </w:lvl>
    <w:lvl w:ilvl="1">
      <w:start w:val="3"/>
      <w:numFmt w:val="decimal"/>
      <w:lvlText w:val="%1.%2."/>
      <w:lvlJc w:val="left"/>
      <w:pPr>
        <w:ind w:left="958" w:hanging="720"/>
      </w:pPr>
      <w:rPr>
        <w:rFonts w:eastAsiaTheme="minorHAnsi" w:hint="default"/>
      </w:rPr>
    </w:lvl>
    <w:lvl w:ilvl="2">
      <w:start w:val="3"/>
      <w:numFmt w:val="decimal"/>
      <w:lvlText w:val="%1.%2.%3."/>
      <w:lvlJc w:val="left"/>
      <w:pPr>
        <w:ind w:left="1196" w:hanging="720"/>
      </w:pPr>
      <w:rPr>
        <w:rFonts w:eastAsiaTheme="minorHAnsi" w:hint="default"/>
      </w:rPr>
    </w:lvl>
    <w:lvl w:ilvl="3">
      <w:start w:val="2"/>
      <w:numFmt w:val="decimal"/>
      <w:lvlText w:val="%1.%2.%3.%4."/>
      <w:lvlJc w:val="left"/>
      <w:pPr>
        <w:ind w:left="1434" w:hanging="720"/>
      </w:pPr>
      <w:rPr>
        <w:rFonts w:eastAsiaTheme="minorHAnsi" w:hint="default"/>
      </w:rPr>
    </w:lvl>
    <w:lvl w:ilvl="4">
      <w:start w:val="1"/>
      <w:numFmt w:val="decimal"/>
      <w:lvlText w:val="%1.%2.%3.%4.%5."/>
      <w:lvlJc w:val="left"/>
      <w:pPr>
        <w:ind w:left="2032" w:hanging="1080"/>
      </w:pPr>
      <w:rPr>
        <w:rFonts w:eastAsiaTheme="minorHAnsi" w:hint="default"/>
      </w:rPr>
    </w:lvl>
    <w:lvl w:ilvl="5">
      <w:start w:val="1"/>
      <w:numFmt w:val="decimal"/>
      <w:lvlText w:val="%1.%2.%3.%4.%5.%6."/>
      <w:lvlJc w:val="left"/>
      <w:pPr>
        <w:ind w:left="2270" w:hanging="1080"/>
      </w:pPr>
      <w:rPr>
        <w:rFonts w:eastAsiaTheme="minorHAnsi" w:hint="default"/>
      </w:rPr>
    </w:lvl>
    <w:lvl w:ilvl="6">
      <w:start w:val="1"/>
      <w:numFmt w:val="decimal"/>
      <w:lvlText w:val="%1.%2.%3.%4.%5.%6.%7."/>
      <w:lvlJc w:val="left"/>
      <w:pPr>
        <w:ind w:left="2868" w:hanging="1440"/>
      </w:pPr>
      <w:rPr>
        <w:rFonts w:eastAsiaTheme="minorHAnsi" w:hint="default"/>
      </w:rPr>
    </w:lvl>
    <w:lvl w:ilvl="7">
      <w:start w:val="1"/>
      <w:numFmt w:val="decimal"/>
      <w:lvlText w:val="%1.%2.%3.%4.%5.%6.%7.%8."/>
      <w:lvlJc w:val="left"/>
      <w:pPr>
        <w:ind w:left="3106" w:hanging="1440"/>
      </w:pPr>
      <w:rPr>
        <w:rFonts w:eastAsiaTheme="minorHAnsi" w:hint="default"/>
      </w:rPr>
    </w:lvl>
    <w:lvl w:ilvl="8">
      <w:start w:val="1"/>
      <w:numFmt w:val="decimal"/>
      <w:lvlText w:val="%1.%2.%3.%4.%5.%6.%7.%8.%9."/>
      <w:lvlJc w:val="left"/>
      <w:pPr>
        <w:ind w:left="3704" w:hanging="1800"/>
      </w:pPr>
      <w:rPr>
        <w:rFonts w:eastAsiaTheme="minorHAnsi" w:hint="default"/>
      </w:rPr>
    </w:lvl>
  </w:abstractNum>
  <w:abstractNum w:abstractNumId="9" w15:restartNumberingAfterBreak="0">
    <w:nsid w:val="3E870EB7"/>
    <w:multiLevelType w:val="multilevel"/>
    <w:tmpl w:val="9006D7E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2C2D9C"/>
    <w:multiLevelType w:val="multilevel"/>
    <w:tmpl w:val="D8BE8A3E"/>
    <w:lvl w:ilvl="0">
      <w:start w:val="1"/>
      <w:numFmt w:val="decimal"/>
      <w:lvlText w:val="%1."/>
      <w:lvlJc w:val="left"/>
      <w:pPr>
        <w:ind w:left="540" w:hanging="540"/>
      </w:pPr>
      <w:rPr>
        <w:rFonts w:hint="default"/>
      </w:rPr>
    </w:lvl>
    <w:lvl w:ilvl="1">
      <w:start w:val="8"/>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439E558E"/>
    <w:multiLevelType w:val="multilevel"/>
    <w:tmpl w:val="045CA65E"/>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8A659DA"/>
    <w:multiLevelType w:val="multilevel"/>
    <w:tmpl w:val="6EECE866"/>
    <w:lvl w:ilvl="0">
      <w:start w:val="1"/>
      <w:numFmt w:val="decimal"/>
      <w:lvlText w:val="%1."/>
      <w:lvlJc w:val="left"/>
      <w:pPr>
        <w:ind w:left="540" w:hanging="540"/>
      </w:pPr>
      <w:rPr>
        <w:rFonts w:eastAsiaTheme="minorHAnsi" w:hint="default"/>
        <w:sz w:val="24"/>
      </w:rPr>
    </w:lvl>
    <w:lvl w:ilvl="1">
      <w:start w:val="9"/>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3" w15:restartNumberingAfterBreak="0">
    <w:nsid w:val="58AE4F7D"/>
    <w:multiLevelType w:val="multilevel"/>
    <w:tmpl w:val="AF643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14" w15:restartNumberingAfterBreak="0">
    <w:nsid w:val="65A77C75"/>
    <w:multiLevelType w:val="multilevel"/>
    <w:tmpl w:val="F12E166E"/>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74170EF"/>
    <w:multiLevelType w:val="multilevel"/>
    <w:tmpl w:val="9A8EDF56"/>
    <w:lvl w:ilvl="0">
      <w:start w:val="1"/>
      <w:numFmt w:val="decimal"/>
      <w:lvlText w:val="%1."/>
      <w:lvlJc w:val="left"/>
      <w:pPr>
        <w:ind w:left="540" w:hanging="540"/>
      </w:pPr>
      <w:rPr>
        <w:rFonts w:eastAsiaTheme="minorHAnsi" w:hint="default"/>
      </w:rPr>
    </w:lvl>
    <w:lvl w:ilvl="1">
      <w:start w:val="6"/>
      <w:numFmt w:val="decimal"/>
      <w:lvlText w:val="%1.%2."/>
      <w:lvlJc w:val="left"/>
      <w:pPr>
        <w:ind w:left="810" w:hanging="540"/>
      </w:pPr>
      <w:rPr>
        <w:rFonts w:eastAsiaTheme="minorHAnsi" w:hint="default"/>
      </w:rPr>
    </w:lvl>
    <w:lvl w:ilvl="2">
      <w:start w:val="8"/>
      <w:numFmt w:val="decimal"/>
      <w:lvlText w:val="%1.%2.%3."/>
      <w:lvlJc w:val="left"/>
      <w:pPr>
        <w:ind w:left="1260" w:hanging="720"/>
      </w:pPr>
      <w:rPr>
        <w:rFonts w:eastAsiaTheme="minorHAnsi" w:hint="default"/>
      </w:rPr>
    </w:lvl>
    <w:lvl w:ilvl="3">
      <w:start w:val="1"/>
      <w:numFmt w:val="decimal"/>
      <w:lvlText w:val="%1.%2.%3.%4."/>
      <w:lvlJc w:val="left"/>
      <w:pPr>
        <w:ind w:left="1530" w:hanging="720"/>
      </w:pPr>
      <w:rPr>
        <w:rFonts w:eastAsiaTheme="minorHAnsi" w:hint="default"/>
      </w:rPr>
    </w:lvl>
    <w:lvl w:ilvl="4">
      <w:start w:val="1"/>
      <w:numFmt w:val="decimal"/>
      <w:lvlText w:val="%1.%2.%3.%4.%5."/>
      <w:lvlJc w:val="left"/>
      <w:pPr>
        <w:ind w:left="2160" w:hanging="1080"/>
      </w:pPr>
      <w:rPr>
        <w:rFonts w:eastAsiaTheme="minorHAnsi" w:hint="default"/>
      </w:rPr>
    </w:lvl>
    <w:lvl w:ilvl="5">
      <w:start w:val="1"/>
      <w:numFmt w:val="decimal"/>
      <w:lvlText w:val="%1.%2.%3.%4.%5.%6."/>
      <w:lvlJc w:val="left"/>
      <w:pPr>
        <w:ind w:left="2430" w:hanging="1080"/>
      </w:pPr>
      <w:rPr>
        <w:rFonts w:eastAsiaTheme="minorHAnsi" w:hint="default"/>
      </w:rPr>
    </w:lvl>
    <w:lvl w:ilvl="6">
      <w:start w:val="1"/>
      <w:numFmt w:val="decimal"/>
      <w:lvlText w:val="%1.%2.%3.%4.%5.%6.%7."/>
      <w:lvlJc w:val="left"/>
      <w:pPr>
        <w:ind w:left="3060" w:hanging="1440"/>
      </w:pPr>
      <w:rPr>
        <w:rFonts w:eastAsiaTheme="minorHAnsi" w:hint="default"/>
      </w:rPr>
    </w:lvl>
    <w:lvl w:ilvl="7">
      <w:start w:val="1"/>
      <w:numFmt w:val="decimal"/>
      <w:lvlText w:val="%1.%2.%3.%4.%5.%6.%7.%8."/>
      <w:lvlJc w:val="left"/>
      <w:pPr>
        <w:ind w:left="3330" w:hanging="1440"/>
      </w:pPr>
      <w:rPr>
        <w:rFonts w:eastAsiaTheme="minorHAnsi" w:hint="default"/>
      </w:rPr>
    </w:lvl>
    <w:lvl w:ilvl="8">
      <w:start w:val="1"/>
      <w:numFmt w:val="decimal"/>
      <w:lvlText w:val="%1.%2.%3.%4.%5.%6.%7.%8.%9."/>
      <w:lvlJc w:val="left"/>
      <w:pPr>
        <w:ind w:left="3960" w:hanging="1800"/>
      </w:pPr>
      <w:rPr>
        <w:rFonts w:eastAsiaTheme="minorHAnsi" w:hint="default"/>
      </w:rPr>
    </w:lvl>
  </w:abstractNum>
  <w:abstractNum w:abstractNumId="16" w15:restartNumberingAfterBreak="0">
    <w:nsid w:val="6BE20FE6"/>
    <w:multiLevelType w:val="multilevel"/>
    <w:tmpl w:val="5F8E46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6C7F0255"/>
    <w:multiLevelType w:val="multilevel"/>
    <w:tmpl w:val="3E46557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EA5705F"/>
    <w:multiLevelType w:val="multilevel"/>
    <w:tmpl w:val="72B64228"/>
    <w:lvl w:ilvl="0">
      <w:start w:val="1"/>
      <w:numFmt w:val="decimal"/>
      <w:lvlText w:val="%1."/>
      <w:lvlJc w:val="left"/>
      <w:pPr>
        <w:ind w:left="540" w:hanging="540"/>
      </w:pPr>
      <w:rPr>
        <w:rFonts w:eastAsiaTheme="minorHAnsi" w:hint="default"/>
        <w:sz w:val="24"/>
      </w:rPr>
    </w:lvl>
    <w:lvl w:ilvl="1">
      <w:start w:val="7"/>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9" w15:restartNumberingAfterBreak="0">
    <w:nsid w:val="705116ED"/>
    <w:multiLevelType w:val="multilevel"/>
    <w:tmpl w:val="6660E57A"/>
    <w:lvl w:ilvl="0">
      <w:start w:val="2"/>
      <w:numFmt w:val="decimal"/>
      <w:lvlText w:val="%1."/>
      <w:lvlJc w:val="left"/>
      <w:pPr>
        <w:ind w:left="660" w:hanging="660"/>
      </w:pPr>
      <w:rPr>
        <w:rFonts w:eastAsiaTheme="minorHAnsi" w:hint="default"/>
      </w:rPr>
    </w:lvl>
    <w:lvl w:ilvl="1">
      <w:start w:val="3"/>
      <w:numFmt w:val="decimal"/>
      <w:lvlText w:val="%1.%2."/>
      <w:lvlJc w:val="left"/>
      <w:pPr>
        <w:ind w:left="1290" w:hanging="660"/>
      </w:pPr>
      <w:rPr>
        <w:rFonts w:eastAsiaTheme="minorHAnsi" w:hint="default"/>
      </w:rPr>
    </w:lvl>
    <w:lvl w:ilvl="2">
      <w:start w:val="11"/>
      <w:numFmt w:val="decimal"/>
      <w:lvlText w:val="%1.%2.%3."/>
      <w:lvlJc w:val="left"/>
      <w:pPr>
        <w:ind w:left="1980" w:hanging="720"/>
      </w:pPr>
      <w:rPr>
        <w:rFonts w:eastAsiaTheme="minorHAnsi" w:hint="default"/>
      </w:rPr>
    </w:lvl>
    <w:lvl w:ilvl="3">
      <w:start w:val="1"/>
      <w:numFmt w:val="decimal"/>
      <w:lvlText w:val="%1.%2.%3.%4."/>
      <w:lvlJc w:val="left"/>
      <w:pPr>
        <w:ind w:left="2610" w:hanging="720"/>
      </w:pPr>
      <w:rPr>
        <w:rFonts w:eastAsiaTheme="minorHAnsi" w:hint="default"/>
      </w:rPr>
    </w:lvl>
    <w:lvl w:ilvl="4">
      <w:start w:val="1"/>
      <w:numFmt w:val="decimal"/>
      <w:lvlText w:val="%1.%2.%3.%4.%5."/>
      <w:lvlJc w:val="left"/>
      <w:pPr>
        <w:ind w:left="3600" w:hanging="1080"/>
      </w:pPr>
      <w:rPr>
        <w:rFonts w:eastAsiaTheme="minorHAnsi" w:hint="default"/>
      </w:rPr>
    </w:lvl>
    <w:lvl w:ilvl="5">
      <w:start w:val="1"/>
      <w:numFmt w:val="decimal"/>
      <w:lvlText w:val="%1.%2.%3.%4.%5.%6."/>
      <w:lvlJc w:val="left"/>
      <w:pPr>
        <w:ind w:left="4230" w:hanging="1080"/>
      </w:pPr>
      <w:rPr>
        <w:rFonts w:eastAsiaTheme="minorHAnsi" w:hint="default"/>
      </w:rPr>
    </w:lvl>
    <w:lvl w:ilvl="6">
      <w:start w:val="1"/>
      <w:numFmt w:val="decimal"/>
      <w:lvlText w:val="%1.%2.%3.%4.%5.%6.%7."/>
      <w:lvlJc w:val="left"/>
      <w:pPr>
        <w:ind w:left="5220" w:hanging="1440"/>
      </w:pPr>
      <w:rPr>
        <w:rFonts w:eastAsiaTheme="minorHAnsi" w:hint="default"/>
      </w:rPr>
    </w:lvl>
    <w:lvl w:ilvl="7">
      <w:start w:val="1"/>
      <w:numFmt w:val="decimal"/>
      <w:lvlText w:val="%1.%2.%3.%4.%5.%6.%7.%8."/>
      <w:lvlJc w:val="left"/>
      <w:pPr>
        <w:ind w:left="5850" w:hanging="1440"/>
      </w:pPr>
      <w:rPr>
        <w:rFonts w:eastAsiaTheme="minorHAnsi" w:hint="default"/>
      </w:rPr>
    </w:lvl>
    <w:lvl w:ilvl="8">
      <w:start w:val="1"/>
      <w:numFmt w:val="decimal"/>
      <w:lvlText w:val="%1.%2.%3.%4.%5.%6.%7.%8.%9."/>
      <w:lvlJc w:val="left"/>
      <w:pPr>
        <w:ind w:left="6840" w:hanging="1800"/>
      </w:pPr>
      <w:rPr>
        <w:rFonts w:eastAsiaTheme="minorHAnsi" w:hint="default"/>
      </w:rPr>
    </w:lvl>
  </w:abstractNum>
  <w:abstractNum w:abstractNumId="20" w15:restartNumberingAfterBreak="0">
    <w:nsid w:val="76672646"/>
    <w:multiLevelType w:val="multilevel"/>
    <w:tmpl w:val="1D548DD0"/>
    <w:lvl w:ilvl="0">
      <w:start w:val="3"/>
      <w:numFmt w:val="decimal"/>
      <w:lvlText w:val="%1."/>
      <w:lvlJc w:val="left"/>
      <w:pPr>
        <w:ind w:left="540" w:hanging="540"/>
      </w:pPr>
      <w:rPr>
        <w:rFonts w:eastAsiaTheme="minorHAnsi" w:hint="default"/>
        <w:sz w:val="24"/>
      </w:rPr>
    </w:lvl>
    <w:lvl w:ilvl="1">
      <w:start w:val="1"/>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21" w15:restartNumberingAfterBreak="0">
    <w:nsid w:val="7EDD4137"/>
    <w:multiLevelType w:val="multilevel"/>
    <w:tmpl w:val="171AB874"/>
    <w:lvl w:ilvl="0">
      <w:start w:val="1"/>
      <w:numFmt w:val="decimal"/>
      <w:lvlText w:val="%1."/>
      <w:lvlJc w:val="left"/>
      <w:pPr>
        <w:ind w:left="720" w:hanging="720"/>
      </w:pPr>
      <w:rPr>
        <w:rFonts w:eastAsiaTheme="minorHAnsi" w:hint="default"/>
      </w:rPr>
    </w:lvl>
    <w:lvl w:ilvl="1">
      <w:start w:val="3"/>
      <w:numFmt w:val="decimal"/>
      <w:lvlText w:val="%1.%2."/>
      <w:lvlJc w:val="left"/>
      <w:pPr>
        <w:ind w:left="720" w:hanging="720"/>
      </w:pPr>
      <w:rPr>
        <w:rFonts w:eastAsiaTheme="minorHAnsi" w:hint="default"/>
      </w:rPr>
    </w:lvl>
    <w:lvl w:ilvl="2">
      <w:start w:val="3"/>
      <w:numFmt w:val="decimal"/>
      <w:lvlText w:val="%1.%2.%3."/>
      <w:lvlJc w:val="left"/>
      <w:pPr>
        <w:ind w:left="720" w:hanging="720"/>
      </w:pPr>
      <w:rPr>
        <w:rFonts w:eastAsiaTheme="minorHAnsi" w:hint="default"/>
      </w:rPr>
    </w:lvl>
    <w:lvl w:ilvl="3">
      <w:start w:val="3"/>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7FC15AF8"/>
    <w:multiLevelType w:val="multilevel"/>
    <w:tmpl w:val="5DD4E248"/>
    <w:lvl w:ilvl="0">
      <w:start w:val="1"/>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1126119049">
    <w:abstractNumId w:val="3"/>
  </w:num>
  <w:num w:numId="2" w16cid:durableId="775246020">
    <w:abstractNumId w:val="16"/>
  </w:num>
  <w:num w:numId="3" w16cid:durableId="172495531">
    <w:abstractNumId w:val="13"/>
  </w:num>
  <w:num w:numId="4" w16cid:durableId="1617445893">
    <w:abstractNumId w:val="11"/>
  </w:num>
  <w:num w:numId="5" w16cid:durableId="1481461515">
    <w:abstractNumId w:val="8"/>
  </w:num>
  <w:num w:numId="6" w16cid:durableId="1813979578">
    <w:abstractNumId w:val="21"/>
  </w:num>
  <w:num w:numId="7" w16cid:durableId="935556274">
    <w:abstractNumId w:val="6"/>
  </w:num>
  <w:num w:numId="8" w16cid:durableId="700396491">
    <w:abstractNumId w:val="22"/>
  </w:num>
  <w:num w:numId="9" w16cid:durableId="83845683">
    <w:abstractNumId w:val="14"/>
  </w:num>
  <w:num w:numId="10" w16cid:durableId="1315179578">
    <w:abstractNumId w:val="0"/>
  </w:num>
  <w:num w:numId="11" w16cid:durableId="1815901577">
    <w:abstractNumId w:val="1"/>
  </w:num>
  <w:num w:numId="12" w16cid:durableId="50856406">
    <w:abstractNumId w:val="15"/>
  </w:num>
  <w:num w:numId="13" w16cid:durableId="2054621569">
    <w:abstractNumId w:val="18"/>
  </w:num>
  <w:num w:numId="14" w16cid:durableId="1407533778">
    <w:abstractNumId w:val="10"/>
  </w:num>
  <w:num w:numId="15" w16cid:durableId="929891448">
    <w:abstractNumId w:val="12"/>
  </w:num>
  <w:num w:numId="16" w16cid:durableId="339629226">
    <w:abstractNumId w:val="17"/>
  </w:num>
  <w:num w:numId="17" w16cid:durableId="513111158">
    <w:abstractNumId w:val="2"/>
  </w:num>
  <w:num w:numId="18" w16cid:durableId="1453474163">
    <w:abstractNumId w:val="19"/>
  </w:num>
  <w:num w:numId="19" w16cid:durableId="859855028">
    <w:abstractNumId w:val="20"/>
  </w:num>
  <w:num w:numId="20" w16cid:durableId="1030882312">
    <w:abstractNumId w:val="5"/>
  </w:num>
  <w:num w:numId="21" w16cid:durableId="1323387223">
    <w:abstractNumId w:val="4"/>
  </w:num>
  <w:num w:numId="22" w16cid:durableId="1719277936">
    <w:abstractNumId w:val="7"/>
  </w:num>
  <w:num w:numId="23" w16cid:durableId="6012302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A9"/>
    <w:rsid w:val="00024CC1"/>
    <w:rsid w:val="00026793"/>
    <w:rsid w:val="00041CCC"/>
    <w:rsid w:val="000443F0"/>
    <w:rsid w:val="00062A76"/>
    <w:rsid w:val="00067308"/>
    <w:rsid w:val="00074A94"/>
    <w:rsid w:val="000A1F29"/>
    <w:rsid w:val="000A288F"/>
    <w:rsid w:val="000A2E61"/>
    <w:rsid w:val="000A4630"/>
    <w:rsid w:val="000E734C"/>
    <w:rsid w:val="000F1414"/>
    <w:rsid w:val="001147F5"/>
    <w:rsid w:val="00132E1A"/>
    <w:rsid w:val="00134690"/>
    <w:rsid w:val="00172ECD"/>
    <w:rsid w:val="001736B7"/>
    <w:rsid w:val="00174721"/>
    <w:rsid w:val="00176DDD"/>
    <w:rsid w:val="001C7466"/>
    <w:rsid w:val="001D2C62"/>
    <w:rsid w:val="001E7332"/>
    <w:rsid w:val="001F0819"/>
    <w:rsid w:val="00207316"/>
    <w:rsid w:val="00261EBC"/>
    <w:rsid w:val="00273CB1"/>
    <w:rsid w:val="002821EB"/>
    <w:rsid w:val="00292CB1"/>
    <w:rsid w:val="002A25AC"/>
    <w:rsid w:val="002A4436"/>
    <w:rsid w:val="002B0502"/>
    <w:rsid w:val="002B452A"/>
    <w:rsid w:val="002C2B7E"/>
    <w:rsid w:val="00300BE8"/>
    <w:rsid w:val="003102DA"/>
    <w:rsid w:val="003115BA"/>
    <w:rsid w:val="00311E0F"/>
    <w:rsid w:val="003312F8"/>
    <w:rsid w:val="003465DF"/>
    <w:rsid w:val="00352663"/>
    <w:rsid w:val="0036304F"/>
    <w:rsid w:val="0037417E"/>
    <w:rsid w:val="003817EC"/>
    <w:rsid w:val="00381F6B"/>
    <w:rsid w:val="003B04EF"/>
    <w:rsid w:val="003B3326"/>
    <w:rsid w:val="003C25F4"/>
    <w:rsid w:val="003C2BC8"/>
    <w:rsid w:val="003C599C"/>
    <w:rsid w:val="003F260D"/>
    <w:rsid w:val="003F3914"/>
    <w:rsid w:val="00417013"/>
    <w:rsid w:val="004532B2"/>
    <w:rsid w:val="00470FFB"/>
    <w:rsid w:val="0048278A"/>
    <w:rsid w:val="00493EA3"/>
    <w:rsid w:val="004970FB"/>
    <w:rsid w:val="004B1F99"/>
    <w:rsid w:val="004D3441"/>
    <w:rsid w:val="004D75E8"/>
    <w:rsid w:val="004E4B37"/>
    <w:rsid w:val="004F479C"/>
    <w:rsid w:val="004F6462"/>
    <w:rsid w:val="0051560D"/>
    <w:rsid w:val="00534542"/>
    <w:rsid w:val="00541DD4"/>
    <w:rsid w:val="00563D69"/>
    <w:rsid w:val="005B4C56"/>
    <w:rsid w:val="005C13B1"/>
    <w:rsid w:val="005C22C1"/>
    <w:rsid w:val="005D48AE"/>
    <w:rsid w:val="005E422E"/>
    <w:rsid w:val="005F2A6F"/>
    <w:rsid w:val="00602761"/>
    <w:rsid w:val="0060621A"/>
    <w:rsid w:val="00614285"/>
    <w:rsid w:val="00614A19"/>
    <w:rsid w:val="00616BA6"/>
    <w:rsid w:val="006317F1"/>
    <w:rsid w:val="0063448E"/>
    <w:rsid w:val="00653341"/>
    <w:rsid w:val="0066772B"/>
    <w:rsid w:val="0068699F"/>
    <w:rsid w:val="006940D1"/>
    <w:rsid w:val="00696DCE"/>
    <w:rsid w:val="006C546B"/>
    <w:rsid w:val="00703113"/>
    <w:rsid w:val="00715BF0"/>
    <w:rsid w:val="00732316"/>
    <w:rsid w:val="00732442"/>
    <w:rsid w:val="007443E3"/>
    <w:rsid w:val="007540BB"/>
    <w:rsid w:val="00771F81"/>
    <w:rsid w:val="00775D5D"/>
    <w:rsid w:val="00796940"/>
    <w:rsid w:val="00796C1B"/>
    <w:rsid w:val="007A0A0C"/>
    <w:rsid w:val="007D0CEE"/>
    <w:rsid w:val="007D72A9"/>
    <w:rsid w:val="007F2D1C"/>
    <w:rsid w:val="007F5DD3"/>
    <w:rsid w:val="00816707"/>
    <w:rsid w:val="0088450C"/>
    <w:rsid w:val="008954AC"/>
    <w:rsid w:val="008A1660"/>
    <w:rsid w:val="008A491F"/>
    <w:rsid w:val="008A5047"/>
    <w:rsid w:val="008D0A77"/>
    <w:rsid w:val="008D61B9"/>
    <w:rsid w:val="008D61E0"/>
    <w:rsid w:val="008E1F4B"/>
    <w:rsid w:val="009010DA"/>
    <w:rsid w:val="00917139"/>
    <w:rsid w:val="00931A16"/>
    <w:rsid w:val="00961446"/>
    <w:rsid w:val="0096173B"/>
    <w:rsid w:val="00975B66"/>
    <w:rsid w:val="00976CAA"/>
    <w:rsid w:val="00993CC0"/>
    <w:rsid w:val="009A5514"/>
    <w:rsid w:val="009D2D79"/>
    <w:rsid w:val="00A02C3C"/>
    <w:rsid w:val="00A2186F"/>
    <w:rsid w:val="00A27CB4"/>
    <w:rsid w:val="00A3639D"/>
    <w:rsid w:val="00A66B98"/>
    <w:rsid w:val="00AB32F4"/>
    <w:rsid w:val="00AB5320"/>
    <w:rsid w:val="00AE5C66"/>
    <w:rsid w:val="00AF2CD8"/>
    <w:rsid w:val="00AF3316"/>
    <w:rsid w:val="00AF4C33"/>
    <w:rsid w:val="00AF62FE"/>
    <w:rsid w:val="00AF632C"/>
    <w:rsid w:val="00B0678B"/>
    <w:rsid w:val="00B11196"/>
    <w:rsid w:val="00B163DB"/>
    <w:rsid w:val="00B6106B"/>
    <w:rsid w:val="00B613C0"/>
    <w:rsid w:val="00B76195"/>
    <w:rsid w:val="00B9203C"/>
    <w:rsid w:val="00BB183F"/>
    <w:rsid w:val="00BB50BC"/>
    <w:rsid w:val="00BB7BEF"/>
    <w:rsid w:val="00C15F7A"/>
    <w:rsid w:val="00C23C75"/>
    <w:rsid w:val="00C26251"/>
    <w:rsid w:val="00C31D9B"/>
    <w:rsid w:val="00C66ABD"/>
    <w:rsid w:val="00CA1257"/>
    <w:rsid w:val="00CB544E"/>
    <w:rsid w:val="00CB6025"/>
    <w:rsid w:val="00D3276F"/>
    <w:rsid w:val="00D33394"/>
    <w:rsid w:val="00D35F0E"/>
    <w:rsid w:val="00D87956"/>
    <w:rsid w:val="00D921DA"/>
    <w:rsid w:val="00D96B1C"/>
    <w:rsid w:val="00DA76D7"/>
    <w:rsid w:val="00DC179F"/>
    <w:rsid w:val="00DC3056"/>
    <w:rsid w:val="00DE1072"/>
    <w:rsid w:val="00E004D5"/>
    <w:rsid w:val="00E03E38"/>
    <w:rsid w:val="00E15FEC"/>
    <w:rsid w:val="00E162D0"/>
    <w:rsid w:val="00E21265"/>
    <w:rsid w:val="00E2718A"/>
    <w:rsid w:val="00E3416A"/>
    <w:rsid w:val="00E54CE6"/>
    <w:rsid w:val="00E624CE"/>
    <w:rsid w:val="00E6256D"/>
    <w:rsid w:val="00E70471"/>
    <w:rsid w:val="00EA1E10"/>
    <w:rsid w:val="00EC1ACC"/>
    <w:rsid w:val="00F022D2"/>
    <w:rsid w:val="00F21B9C"/>
    <w:rsid w:val="00F24D64"/>
    <w:rsid w:val="00F419A7"/>
    <w:rsid w:val="00F431B1"/>
    <w:rsid w:val="00F437BB"/>
    <w:rsid w:val="00F72792"/>
    <w:rsid w:val="00F91D06"/>
    <w:rsid w:val="00F92B7B"/>
    <w:rsid w:val="00F95936"/>
    <w:rsid w:val="00F96C7D"/>
    <w:rsid w:val="00FA51F3"/>
    <w:rsid w:val="00FA632F"/>
    <w:rsid w:val="00FA71A0"/>
    <w:rsid w:val="00FB342B"/>
    <w:rsid w:val="00FC7644"/>
    <w:rsid w:val="00FE0E2B"/>
    <w:rsid w:val="00FE0EC9"/>
    <w:rsid w:val="00FE4DE3"/>
    <w:rsid w:val="00FE7A4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6735"/>
  <w15:docId w15:val="{7FA59D4C-FFEB-457B-ACC2-71D86914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4B3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4D0B31"/>
    <w:rPr>
      <w:lang w:val="lv-LV"/>
    </w:rPr>
  </w:style>
  <w:style w:type="character" w:customStyle="1" w:styleId="KjeneRakstz">
    <w:name w:val="Kājene Rakstz."/>
    <w:basedOn w:val="Noklusjumarindkopasfonts"/>
    <w:link w:val="Kjene"/>
    <w:uiPriority w:val="99"/>
    <w:qFormat/>
    <w:rsid w:val="004D0B31"/>
    <w:rPr>
      <w:lang w:val="lv-LV"/>
    </w:rPr>
  </w:style>
  <w:style w:type="character" w:styleId="Komentraatsauce">
    <w:name w:val="annotation reference"/>
    <w:basedOn w:val="Noklusjumarindkopasfonts"/>
    <w:uiPriority w:val="99"/>
    <w:semiHidden/>
    <w:unhideWhenUsed/>
    <w:qFormat/>
    <w:rsid w:val="006E74A8"/>
    <w:rPr>
      <w:sz w:val="16"/>
      <w:szCs w:val="16"/>
    </w:rPr>
  </w:style>
  <w:style w:type="character" w:customStyle="1" w:styleId="KomentratekstsRakstz">
    <w:name w:val="Komentāra teksts Rakstz."/>
    <w:basedOn w:val="Noklusjumarindkopasfonts"/>
    <w:link w:val="Komentrateksts"/>
    <w:uiPriority w:val="99"/>
    <w:semiHidden/>
    <w:qFormat/>
    <w:rsid w:val="006E74A8"/>
    <w:rPr>
      <w:sz w:val="20"/>
      <w:szCs w:val="20"/>
      <w:lang w:val="lv-LV"/>
    </w:rPr>
  </w:style>
  <w:style w:type="character" w:customStyle="1" w:styleId="VrestekstsRakstz">
    <w:name w:val="Vēres teksts Rakstz."/>
    <w:basedOn w:val="Noklusjumarindkopasfonts"/>
    <w:link w:val="Vresteksts"/>
    <w:uiPriority w:val="99"/>
    <w:semiHidden/>
    <w:qFormat/>
    <w:rsid w:val="00193EC5"/>
    <w:rPr>
      <w:sz w:val="20"/>
      <w:szCs w:val="20"/>
      <w:lang w:val="lv-LV"/>
    </w:rPr>
  </w:style>
  <w:style w:type="character" w:customStyle="1" w:styleId="FootnoteCharacters">
    <w:name w:val="Footnote Characters"/>
    <w:basedOn w:val="Noklusjumarindkopasfonts"/>
    <w:uiPriority w:val="99"/>
    <w:semiHidden/>
    <w:unhideWhenUsed/>
    <w:qFormat/>
    <w:rsid w:val="00193EC5"/>
    <w:rPr>
      <w:vertAlign w:val="superscript"/>
    </w:rPr>
  </w:style>
  <w:style w:type="character" w:customStyle="1" w:styleId="FootnoteAnchor">
    <w:name w:val="Footnote Anchor"/>
    <w:rPr>
      <w:vertAlign w:val="superscript"/>
    </w:rPr>
  </w:style>
  <w:style w:type="character" w:customStyle="1" w:styleId="KomentratmaRakstz">
    <w:name w:val="Komentāra tēma Rakstz."/>
    <w:basedOn w:val="KomentratekstsRakstz"/>
    <w:link w:val="Komentratma"/>
    <w:uiPriority w:val="99"/>
    <w:semiHidden/>
    <w:qFormat/>
    <w:rsid w:val="006B1DA5"/>
    <w:rPr>
      <w:b/>
      <w:bCs/>
      <w:sz w:val="20"/>
      <w:szCs w:val="20"/>
      <w:lang w:val="lv-LV"/>
    </w:rPr>
  </w:style>
  <w:style w:type="character" w:customStyle="1" w:styleId="BalontekstsRakstz">
    <w:name w:val="Balonteksts Rakstz."/>
    <w:basedOn w:val="Noklusjumarindkopasfonts"/>
    <w:link w:val="Balonteksts"/>
    <w:uiPriority w:val="99"/>
    <w:semiHidden/>
    <w:qFormat/>
    <w:rsid w:val="00383FFF"/>
    <w:rPr>
      <w:rFonts w:ascii="Tahoma" w:hAnsi="Tahoma" w:cs="Tahoma"/>
      <w:sz w:val="16"/>
      <w:szCs w:val="16"/>
      <w:lang w:val="lv-LV"/>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Sarakstarindkopa">
    <w:name w:val="List Paragraph"/>
    <w:basedOn w:val="Parasts"/>
    <w:uiPriority w:val="34"/>
    <w:qFormat/>
    <w:rsid w:val="00B34B30"/>
    <w:pPr>
      <w:ind w:left="720"/>
      <w:contextualSpacing/>
    </w:p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4D0B31"/>
    <w:pPr>
      <w:tabs>
        <w:tab w:val="center" w:pos="4320"/>
        <w:tab w:val="right" w:pos="8640"/>
      </w:tabs>
      <w:spacing w:after="0" w:line="240" w:lineRule="auto"/>
    </w:pPr>
  </w:style>
  <w:style w:type="paragraph" w:styleId="Kjene">
    <w:name w:val="footer"/>
    <w:basedOn w:val="Parasts"/>
    <w:link w:val="KjeneRakstz"/>
    <w:uiPriority w:val="99"/>
    <w:unhideWhenUsed/>
    <w:rsid w:val="004D0B31"/>
    <w:pPr>
      <w:tabs>
        <w:tab w:val="center" w:pos="4320"/>
        <w:tab w:val="right" w:pos="8640"/>
      </w:tabs>
      <w:spacing w:after="0" w:line="240" w:lineRule="auto"/>
    </w:pPr>
  </w:style>
  <w:style w:type="paragraph" w:styleId="Komentrateksts">
    <w:name w:val="annotation text"/>
    <w:basedOn w:val="Parasts"/>
    <w:link w:val="KomentratekstsRakstz"/>
    <w:uiPriority w:val="99"/>
    <w:semiHidden/>
    <w:unhideWhenUsed/>
    <w:qFormat/>
    <w:rsid w:val="006E74A8"/>
    <w:pPr>
      <w:spacing w:line="240" w:lineRule="auto"/>
    </w:pPr>
    <w:rPr>
      <w:sz w:val="20"/>
      <w:szCs w:val="20"/>
    </w:rPr>
  </w:style>
  <w:style w:type="paragraph" w:styleId="Vresteksts">
    <w:name w:val="footnote text"/>
    <w:basedOn w:val="Parasts"/>
    <w:link w:val="VrestekstsRakstz"/>
    <w:uiPriority w:val="99"/>
    <w:semiHidden/>
    <w:unhideWhenUsed/>
    <w:rsid w:val="00193EC5"/>
    <w:pPr>
      <w:spacing w:after="0"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6B1DA5"/>
    <w:rPr>
      <w:b/>
      <w:bCs/>
    </w:rPr>
  </w:style>
  <w:style w:type="paragraph" w:styleId="Prskatjums">
    <w:name w:val="Revision"/>
    <w:uiPriority w:val="99"/>
    <w:semiHidden/>
    <w:qFormat/>
    <w:rsid w:val="006B1DA5"/>
    <w:rPr>
      <w:lang w:val="lv-LV"/>
    </w:rPr>
  </w:style>
  <w:style w:type="paragraph" w:styleId="Balonteksts">
    <w:name w:val="Balloon Text"/>
    <w:basedOn w:val="Parasts"/>
    <w:link w:val="BalontekstsRakstz"/>
    <w:uiPriority w:val="99"/>
    <w:semiHidden/>
    <w:unhideWhenUsed/>
    <w:qFormat/>
    <w:rsid w:val="00383FFF"/>
    <w:pPr>
      <w:spacing w:after="0" w:line="240" w:lineRule="auto"/>
    </w:pPr>
    <w:rPr>
      <w:rFonts w:ascii="Tahoma" w:hAnsi="Tahoma" w:cs="Tahoma"/>
      <w:sz w:val="16"/>
      <w:szCs w:val="16"/>
    </w:rPr>
  </w:style>
  <w:style w:type="table" w:styleId="Reatabula">
    <w:name w:val="Table Grid"/>
    <w:basedOn w:val="Parastatabula"/>
    <w:uiPriority w:val="39"/>
    <w:rsid w:val="00B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86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8CB7-C1C1-40D5-B0D6-989F7F05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6034</Words>
  <Characters>34400</Characters>
  <Application>Microsoft Office Word</Application>
  <DocSecurity>0</DocSecurity>
  <Lines>286</Lines>
  <Paragraphs>80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dc:description/>
  <cp:lastModifiedBy>Rolands Ozols</cp:lastModifiedBy>
  <cp:revision>2</cp:revision>
  <cp:lastPrinted>2021-11-03T09:56:00Z</cp:lastPrinted>
  <dcterms:created xsi:type="dcterms:W3CDTF">2022-10-20T15:16:00Z</dcterms:created>
  <dcterms:modified xsi:type="dcterms:W3CDTF">2022-10-20T15:16:00Z</dcterms:modified>
  <dc:language>lv-LV</dc:language>
</cp:coreProperties>
</file>